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6E0856">
      <w:pPr>
        <w:spacing w:line="600" w:lineRule="exact"/>
        <w:ind w:firstLine="0" w:firstLineChars="0"/>
        <w:jc w:val="center"/>
        <w:rPr>
          <w:rFonts w:ascii="方正小标宋简体" w:hAnsi="宋体" w:eastAsia="方正小标宋简体"/>
          <w:color w:val="000000"/>
          <w:sz w:val="44"/>
          <w:szCs w:val="32"/>
        </w:rPr>
      </w:pPr>
      <w:r>
        <w:rPr>
          <w:rFonts w:hint="eastAsia" w:ascii="方正小标宋简体" w:hAnsi="宋体" w:eastAsia="方正小标宋简体"/>
          <w:color w:val="000000"/>
          <w:sz w:val="44"/>
          <w:szCs w:val="32"/>
        </w:rPr>
        <w:t>团体标准《姜黄及其制品中姜黄素、去甲氧基姜黄素和双去甲氧基姜黄素含量的测定 高效液相色谱法》（征求意见稿）编制说明</w:t>
      </w:r>
    </w:p>
    <w:p w14:paraId="6F2B5521">
      <w:pPr>
        <w:autoSpaceDE w:val="0"/>
        <w:autoSpaceDN w:val="0"/>
        <w:adjustRightInd w:val="0"/>
        <w:spacing w:line="560" w:lineRule="exact"/>
        <w:ind w:firstLine="640"/>
        <w:jc w:val="left"/>
        <w:rPr>
          <w:rFonts w:ascii="黑体" w:hAnsi="黑体" w:eastAsia="黑体" w:cs="仿宋_GB2312"/>
          <w:szCs w:val="32"/>
        </w:rPr>
      </w:pPr>
    </w:p>
    <w:p w14:paraId="72046A8C">
      <w:pPr>
        <w:autoSpaceDE w:val="0"/>
        <w:autoSpaceDN w:val="0"/>
        <w:adjustRightInd w:val="0"/>
        <w:spacing w:line="560" w:lineRule="exact"/>
        <w:ind w:firstLine="640"/>
        <w:jc w:val="left"/>
        <w:rPr>
          <w:rFonts w:ascii="黑体" w:hAnsi="黑体" w:eastAsia="黑体" w:cs="仿宋_GB2312"/>
          <w:szCs w:val="32"/>
        </w:rPr>
      </w:pPr>
      <w:r>
        <w:rPr>
          <w:rFonts w:hint="eastAsia" w:ascii="黑体" w:hAnsi="黑体" w:eastAsia="黑体" w:cs="仿宋_GB2312"/>
          <w:szCs w:val="32"/>
        </w:rPr>
        <w:t>一、任务来源、起草单位、主要起草人</w:t>
      </w:r>
    </w:p>
    <w:p w14:paraId="27F6E234">
      <w:pPr>
        <w:ind w:firstLine="640"/>
        <w:rPr>
          <w:rFonts w:ascii="仿宋_GB2312" w:hAnsi="宋体"/>
          <w:szCs w:val="28"/>
        </w:rPr>
      </w:pPr>
      <w:r>
        <w:rPr>
          <w:rFonts w:hint="eastAsia" w:ascii="仿宋_GB2312" w:hAnsi="宋体"/>
          <w:szCs w:val="28"/>
        </w:rPr>
        <w:t>根据《广西标准化协会关于下达2025年第十八批团体标准制修订项目计划的通知》（桂标协〔2025〕140号）文件精神，由玉林市食品药品检验检测中心</w:t>
      </w:r>
      <w:r>
        <w:rPr>
          <w:rFonts w:ascii="仿宋_GB2312" w:hAnsi="宋体"/>
          <w:szCs w:val="28"/>
        </w:rPr>
        <w:t>[</w:t>
      </w:r>
      <w:r>
        <w:rPr>
          <w:rFonts w:hint="eastAsia" w:ascii="仿宋_GB2312" w:hAnsi="宋体"/>
          <w:szCs w:val="28"/>
        </w:rPr>
        <w:t>广西香料产品质量检验中心（玉林）</w:t>
      </w:r>
      <w:r>
        <w:rPr>
          <w:rFonts w:ascii="仿宋_GB2312" w:hAnsi="宋体"/>
          <w:szCs w:val="28"/>
        </w:rPr>
        <w:t>]</w:t>
      </w:r>
      <w:r>
        <w:rPr>
          <w:rFonts w:hint="eastAsia" w:ascii="仿宋_GB2312" w:hAnsi="宋体"/>
          <w:szCs w:val="28"/>
        </w:rPr>
        <w:t>提出，玉林市食品药品检验检测中心</w:t>
      </w:r>
      <w:r>
        <w:rPr>
          <w:rFonts w:ascii="仿宋_GB2312" w:hAnsi="宋体"/>
          <w:szCs w:val="28"/>
        </w:rPr>
        <w:t>[</w:t>
      </w:r>
      <w:r>
        <w:rPr>
          <w:rFonts w:hint="eastAsia" w:ascii="仿宋_GB2312" w:hAnsi="宋体"/>
          <w:szCs w:val="28"/>
        </w:rPr>
        <w:t>广西香料产品质量检验中心（玉林）</w:t>
      </w:r>
      <w:r>
        <w:rPr>
          <w:rFonts w:ascii="仿宋_GB2312" w:hAnsi="宋体"/>
          <w:szCs w:val="28"/>
        </w:rPr>
        <w:t>]</w:t>
      </w:r>
      <w:r>
        <w:rPr>
          <w:rFonts w:hint="eastAsia" w:ascii="仿宋_GB2312" w:hAnsi="宋体"/>
          <w:szCs w:val="28"/>
        </w:rPr>
        <w:t>、广西-东盟食品检验检测中心[国家市场监管总局技术创新中心（天然香料香精）]、广西壮族自治区药用植物园、广西舟聪食品有限公司共同起草的团体标准《姜黄及其制品中姜黄素、去甲氧基姜黄素和双去甲氧基姜黄素含量的测定 高效液相色谱法》（项目编号2025-1808）已获批立项。</w:t>
      </w:r>
    </w:p>
    <w:p w14:paraId="166B1F5F">
      <w:pPr>
        <w:ind w:firstLine="640"/>
        <w:rPr>
          <w:rFonts w:ascii="仿宋_GB2312" w:hAnsi="宋体"/>
          <w:szCs w:val="28"/>
        </w:rPr>
      </w:pPr>
      <w:r>
        <w:rPr>
          <w:rFonts w:hint="eastAsia" w:ascii="仿宋_GB2312" w:hAnsi="宋体"/>
          <w:szCs w:val="28"/>
        </w:rPr>
        <w:t>为保障标准编制工作的顺利实施，各起草单位联合成立了标准编制工作组，具体分工见表1。</w:t>
      </w:r>
    </w:p>
    <w:p w14:paraId="2BEAC7D4">
      <w:pPr>
        <w:pStyle w:val="2"/>
        <w:jc w:val="center"/>
      </w:pPr>
      <w:r>
        <w:rPr>
          <w:rFonts w:hint="eastAsia" w:eastAsia="黑体"/>
          <w:sz w:val="32"/>
          <w:szCs w:val="32"/>
        </w:rPr>
        <w:t>表</w:t>
      </w:r>
      <w:r>
        <w:rPr>
          <w:rFonts w:eastAsia="黑体"/>
          <w:sz w:val="32"/>
          <w:szCs w:val="32"/>
        </w:rPr>
        <w:t>1</w:t>
      </w:r>
      <w:r>
        <w:rPr>
          <w:rFonts w:hint="eastAsia" w:eastAsia="黑体"/>
          <w:sz w:val="32"/>
          <w:szCs w:val="32"/>
        </w:rPr>
        <w:t>：标准编制工作组及责任分工</w:t>
      </w:r>
    </w:p>
    <w:tbl>
      <w:tblPr>
        <w:tblStyle w:val="9"/>
        <w:tblW w:w="5006"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1037"/>
        <w:gridCol w:w="1448"/>
        <w:gridCol w:w="1317"/>
        <w:gridCol w:w="2394"/>
        <w:gridCol w:w="2989"/>
      </w:tblGrid>
      <w:tr w14:paraId="6589CCD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565" w:type="pct"/>
            <w:tcBorders>
              <w:top w:val="single" w:color="auto" w:sz="8" w:space="0"/>
              <w:bottom w:val="single" w:color="auto" w:sz="8" w:space="0"/>
            </w:tcBorders>
            <w:vAlign w:val="center"/>
          </w:tcPr>
          <w:p w14:paraId="74475C12">
            <w:pPr>
              <w:ind w:firstLine="0" w:firstLineChars="0"/>
              <w:jc w:val="center"/>
              <w:rPr>
                <w:rFonts w:asciiTheme="minorEastAsia" w:hAnsiTheme="minorEastAsia" w:eastAsiaTheme="minorEastAsia"/>
                <w:b/>
                <w:bCs/>
                <w:sz w:val="24"/>
              </w:rPr>
            </w:pPr>
            <w:r>
              <w:rPr>
                <w:rFonts w:hint="eastAsia" w:asciiTheme="minorEastAsia" w:hAnsiTheme="minorEastAsia" w:eastAsiaTheme="minorEastAsia"/>
                <w:b/>
                <w:bCs/>
                <w:sz w:val="24"/>
              </w:rPr>
              <w:t>姓名</w:t>
            </w:r>
          </w:p>
        </w:tc>
        <w:tc>
          <w:tcPr>
            <w:tcW w:w="788" w:type="pct"/>
            <w:tcBorders>
              <w:top w:val="single" w:color="auto" w:sz="8" w:space="0"/>
              <w:bottom w:val="single" w:color="auto" w:sz="8" w:space="0"/>
            </w:tcBorders>
            <w:vAlign w:val="center"/>
          </w:tcPr>
          <w:p w14:paraId="1CCC170D">
            <w:pPr>
              <w:ind w:firstLine="0" w:firstLineChars="0"/>
              <w:jc w:val="center"/>
              <w:rPr>
                <w:rFonts w:asciiTheme="minorEastAsia" w:hAnsiTheme="minorEastAsia" w:eastAsiaTheme="minorEastAsia"/>
                <w:b/>
                <w:bCs/>
                <w:sz w:val="24"/>
              </w:rPr>
            </w:pPr>
            <w:r>
              <w:rPr>
                <w:rFonts w:hint="eastAsia" w:asciiTheme="minorEastAsia" w:hAnsiTheme="minorEastAsia" w:eastAsiaTheme="minorEastAsia"/>
                <w:b/>
                <w:bCs/>
                <w:sz w:val="24"/>
              </w:rPr>
              <w:t>职务/职称</w:t>
            </w:r>
          </w:p>
        </w:tc>
        <w:tc>
          <w:tcPr>
            <w:tcW w:w="717" w:type="pct"/>
            <w:tcBorders>
              <w:top w:val="single" w:color="auto" w:sz="8" w:space="0"/>
              <w:bottom w:val="single" w:color="auto" w:sz="8" w:space="0"/>
            </w:tcBorders>
            <w:vAlign w:val="center"/>
          </w:tcPr>
          <w:p w14:paraId="52630F15">
            <w:pPr>
              <w:ind w:firstLine="0" w:firstLineChars="0"/>
              <w:jc w:val="center"/>
              <w:rPr>
                <w:rFonts w:asciiTheme="minorEastAsia" w:hAnsiTheme="minorEastAsia" w:eastAsiaTheme="minorEastAsia"/>
                <w:b/>
                <w:bCs/>
                <w:sz w:val="24"/>
              </w:rPr>
            </w:pPr>
            <w:r>
              <w:rPr>
                <w:rFonts w:hint="eastAsia" w:asciiTheme="minorEastAsia" w:hAnsiTheme="minorEastAsia" w:eastAsiaTheme="minorEastAsia"/>
                <w:b/>
                <w:bCs/>
                <w:sz w:val="24"/>
              </w:rPr>
              <w:t>从事专业</w:t>
            </w:r>
          </w:p>
        </w:tc>
        <w:tc>
          <w:tcPr>
            <w:tcW w:w="1303" w:type="pct"/>
            <w:tcBorders>
              <w:top w:val="single" w:color="auto" w:sz="8" w:space="0"/>
              <w:bottom w:val="single" w:color="auto" w:sz="8" w:space="0"/>
            </w:tcBorders>
            <w:vAlign w:val="center"/>
          </w:tcPr>
          <w:p w14:paraId="700C52D7">
            <w:pPr>
              <w:ind w:firstLine="0" w:firstLineChars="0"/>
              <w:jc w:val="center"/>
              <w:rPr>
                <w:rFonts w:asciiTheme="minorEastAsia" w:hAnsiTheme="minorEastAsia" w:eastAsiaTheme="minorEastAsia"/>
                <w:b/>
                <w:bCs/>
                <w:sz w:val="24"/>
              </w:rPr>
            </w:pPr>
            <w:r>
              <w:rPr>
                <w:rFonts w:hint="eastAsia" w:asciiTheme="minorEastAsia" w:hAnsiTheme="minorEastAsia" w:eastAsiaTheme="minorEastAsia"/>
                <w:b/>
                <w:bCs/>
                <w:sz w:val="24"/>
              </w:rPr>
              <w:t>工作单位</w:t>
            </w:r>
          </w:p>
        </w:tc>
        <w:tc>
          <w:tcPr>
            <w:tcW w:w="1627" w:type="pct"/>
            <w:tcBorders>
              <w:top w:val="single" w:color="auto" w:sz="8" w:space="0"/>
              <w:bottom w:val="single" w:color="auto" w:sz="8" w:space="0"/>
            </w:tcBorders>
            <w:vAlign w:val="center"/>
          </w:tcPr>
          <w:p w14:paraId="46E1A943">
            <w:pPr>
              <w:ind w:firstLine="0" w:firstLineChars="0"/>
              <w:jc w:val="center"/>
              <w:rPr>
                <w:rFonts w:asciiTheme="minorEastAsia" w:hAnsiTheme="minorEastAsia" w:eastAsiaTheme="minorEastAsia"/>
                <w:b/>
                <w:bCs/>
                <w:sz w:val="24"/>
              </w:rPr>
            </w:pPr>
            <w:r>
              <w:rPr>
                <w:rFonts w:hint="eastAsia" w:asciiTheme="minorEastAsia" w:hAnsiTheme="minorEastAsia" w:eastAsiaTheme="minorEastAsia"/>
                <w:b/>
                <w:bCs/>
                <w:sz w:val="24"/>
              </w:rPr>
              <w:t>责任分工</w:t>
            </w:r>
          </w:p>
        </w:tc>
      </w:tr>
      <w:tr w14:paraId="0E9FACA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65" w:type="pct"/>
            <w:vAlign w:val="center"/>
          </w:tcPr>
          <w:p w14:paraId="42D2FAC8">
            <w:pPr>
              <w:ind w:firstLine="0" w:firstLineChars="0"/>
              <w:jc w:val="cente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卢森华</w:t>
            </w:r>
          </w:p>
        </w:tc>
        <w:tc>
          <w:tcPr>
            <w:tcW w:w="788" w:type="pct"/>
            <w:vAlign w:val="center"/>
          </w:tcPr>
          <w:p w14:paraId="3FEA35A7">
            <w:pPr>
              <w:ind w:firstLine="0" w:firstLineChars="0"/>
              <w:jc w:val="cente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副主任药师</w:t>
            </w:r>
          </w:p>
        </w:tc>
        <w:tc>
          <w:tcPr>
            <w:tcW w:w="717" w:type="pct"/>
            <w:tcBorders>
              <w:top w:val="single" w:color="auto" w:sz="8" w:space="0"/>
              <w:bottom w:val="single" w:color="auto" w:sz="8" w:space="0"/>
            </w:tcBorders>
            <w:vAlign w:val="center"/>
          </w:tcPr>
          <w:p w14:paraId="44608302">
            <w:pPr>
              <w:ind w:firstLine="0" w:firstLineChars="0"/>
              <w:jc w:val="center"/>
              <w:rPr>
                <w:rFonts w:asciiTheme="minorEastAsia" w:hAnsiTheme="minorEastAsia" w:eastAsiaTheme="minorEastAsia"/>
                <w:sz w:val="24"/>
              </w:rPr>
            </w:pPr>
            <w:r>
              <w:rPr>
                <w:rFonts w:hint="eastAsia" w:asciiTheme="minorEastAsia" w:hAnsiTheme="minorEastAsia" w:eastAsiaTheme="minorEastAsia"/>
                <w:color w:val="000000" w:themeColor="text1"/>
                <w:sz w:val="24"/>
                <w14:textFill>
                  <w14:solidFill>
                    <w14:schemeClr w14:val="tx1"/>
                  </w14:solidFill>
                </w14:textFill>
              </w:rPr>
              <w:t>食品药品检验检测</w:t>
            </w:r>
          </w:p>
        </w:tc>
        <w:tc>
          <w:tcPr>
            <w:tcW w:w="1303" w:type="pct"/>
            <w:vAlign w:val="center"/>
          </w:tcPr>
          <w:p w14:paraId="480D7474">
            <w:pPr>
              <w:ind w:firstLine="0" w:firstLineChars="0"/>
              <w:jc w:val="cente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玉林市食品药品检验检测中心</w:t>
            </w:r>
          </w:p>
        </w:tc>
        <w:tc>
          <w:tcPr>
            <w:tcW w:w="1627" w:type="pct"/>
            <w:tcBorders>
              <w:top w:val="single" w:color="auto" w:sz="8" w:space="0"/>
              <w:bottom w:val="single" w:color="auto" w:sz="8" w:space="0"/>
            </w:tcBorders>
            <w:vAlign w:val="center"/>
          </w:tcPr>
          <w:p w14:paraId="3D0BBA29">
            <w:pPr>
              <w:ind w:firstLine="0" w:firstLineChars="0"/>
              <w:jc w:val="center"/>
              <w:rPr>
                <w:rFonts w:asciiTheme="minorEastAsia" w:hAnsiTheme="minorEastAsia" w:eastAsiaTheme="minorEastAsia"/>
                <w:sz w:val="24"/>
              </w:rPr>
            </w:pPr>
            <w:r>
              <w:rPr>
                <w:rFonts w:hint="eastAsia" w:asciiTheme="minorEastAsia" w:hAnsiTheme="minorEastAsia" w:eastAsiaTheme="minorEastAsia"/>
                <w:sz w:val="24"/>
              </w:rPr>
              <w:t>立项申报、标准起草、编写编制说明、验收</w:t>
            </w:r>
          </w:p>
        </w:tc>
      </w:tr>
      <w:tr w14:paraId="6FD029C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65" w:type="pct"/>
            <w:vAlign w:val="center"/>
          </w:tcPr>
          <w:p w14:paraId="1A482EA5">
            <w:pPr>
              <w:ind w:firstLine="0" w:firstLineChars="0"/>
              <w:jc w:val="cente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徐  梦</w:t>
            </w:r>
          </w:p>
        </w:tc>
        <w:tc>
          <w:tcPr>
            <w:tcW w:w="788" w:type="pct"/>
            <w:vAlign w:val="center"/>
          </w:tcPr>
          <w:p w14:paraId="162AC3CA">
            <w:pPr>
              <w:ind w:firstLine="0" w:firstLineChars="0"/>
              <w:jc w:val="cente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工程师</w:t>
            </w:r>
          </w:p>
        </w:tc>
        <w:tc>
          <w:tcPr>
            <w:tcW w:w="717" w:type="pct"/>
            <w:tcBorders>
              <w:top w:val="single" w:color="auto" w:sz="8" w:space="0"/>
              <w:bottom w:val="single" w:color="auto" w:sz="8" w:space="0"/>
            </w:tcBorders>
            <w:vAlign w:val="center"/>
          </w:tcPr>
          <w:p w14:paraId="1A680BDA">
            <w:pPr>
              <w:ind w:firstLine="0" w:firstLineChars="0"/>
              <w:jc w:val="center"/>
              <w:rPr>
                <w:rFonts w:asciiTheme="minorEastAsia" w:hAnsiTheme="minorEastAsia" w:eastAsiaTheme="minorEastAsia"/>
                <w:sz w:val="24"/>
              </w:rPr>
            </w:pPr>
            <w:r>
              <w:rPr>
                <w:rFonts w:hint="eastAsia" w:asciiTheme="minorEastAsia" w:hAnsiTheme="minorEastAsia" w:eastAsiaTheme="minorEastAsia"/>
                <w:sz w:val="24"/>
              </w:rPr>
              <w:t>食品检验</w:t>
            </w:r>
          </w:p>
        </w:tc>
        <w:tc>
          <w:tcPr>
            <w:tcW w:w="1303" w:type="pct"/>
            <w:vAlign w:val="center"/>
          </w:tcPr>
          <w:p w14:paraId="1D19CC2C">
            <w:pPr>
              <w:ind w:firstLine="0" w:firstLineChars="0"/>
              <w:jc w:val="cente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玉林市食品药品检验检测中心</w:t>
            </w:r>
          </w:p>
        </w:tc>
        <w:tc>
          <w:tcPr>
            <w:tcW w:w="1627" w:type="pct"/>
            <w:tcBorders>
              <w:top w:val="single" w:color="auto" w:sz="8" w:space="0"/>
              <w:bottom w:val="single" w:color="auto" w:sz="8" w:space="0"/>
            </w:tcBorders>
            <w:vAlign w:val="center"/>
          </w:tcPr>
          <w:p w14:paraId="66625045">
            <w:pPr>
              <w:ind w:firstLine="0" w:firstLineChars="0"/>
              <w:jc w:val="center"/>
              <w:rPr>
                <w:rFonts w:asciiTheme="minorEastAsia" w:hAnsiTheme="minorEastAsia" w:eastAsiaTheme="minorEastAsia"/>
                <w:sz w:val="24"/>
              </w:rPr>
            </w:pPr>
            <w:r>
              <w:rPr>
                <w:rFonts w:hint="eastAsia" w:asciiTheme="minorEastAsia" w:hAnsiTheme="minorEastAsia" w:eastAsiaTheme="minorEastAsia"/>
                <w:sz w:val="24"/>
              </w:rPr>
              <w:t>立项申报、标准起草、验证</w:t>
            </w:r>
          </w:p>
        </w:tc>
      </w:tr>
      <w:tr w14:paraId="617CB66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65" w:type="pct"/>
            <w:vAlign w:val="center"/>
          </w:tcPr>
          <w:p w14:paraId="090ED610">
            <w:pPr>
              <w:ind w:firstLine="0" w:firstLineChars="0"/>
              <w:jc w:val="cente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丘一仙</w:t>
            </w:r>
          </w:p>
        </w:tc>
        <w:tc>
          <w:tcPr>
            <w:tcW w:w="788" w:type="pct"/>
            <w:vAlign w:val="center"/>
          </w:tcPr>
          <w:p w14:paraId="77825620">
            <w:pPr>
              <w:ind w:firstLine="0" w:firstLineChars="0"/>
              <w:jc w:val="cente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副主任药师</w:t>
            </w:r>
          </w:p>
        </w:tc>
        <w:tc>
          <w:tcPr>
            <w:tcW w:w="717" w:type="pct"/>
            <w:tcBorders>
              <w:top w:val="single" w:color="auto" w:sz="8" w:space="0"/>
              <w:bottom w:val="single" w:color="auto" w:sz="8" w:space="0"/>
            </w:tcBorders>
            <w:vAlign w:val="center"/>
          </w:tcPr>
          <w:p w14:paraId="5B41F4C4">
            <w:pPr>
              <w:ind w:firstLine="0" w:firstLineChars="0"/>
              <w:jc w:val="center"/>
              <w:rPr>
                <w:rFonts w:asciiTheme="minorEastAsia" w:hAnsiTheme="minorEastAsia" w:eastAsiaTheme="minorEastAsia"/>
                <w:sz w:val="24"/>
              </w:rPr>
            </w:pPr>
            <w:r>
              <w:rPr>
                <w:rFonts w:hint="eastAsia" w:asciiTheme="minorEastAsia" w:hAnsiTheme="minorEastAsia" w:eastAsiaTheme="minorEastAsia"/>
                <w:sz w:val="24"/>
              </w:rPr>
              <w:t>食品检验</w:t>
            </w:r>
          </w:p>
        </w:tc>
        <w:tc>
          <w:tcPr>
            <w:tcW w:w="1303" w:type="pct"/>
            <w:vAlign w:val="center"/>
          </w:tcPr>
          <w:p w14:paraId="62CC1F45">
            <w:pPr>
              <w:ind w:firstLine="0" w:firstLineChars="0"/>
              <w:jc w:val="cente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玉林市食品药品检验检测中心</w:t>
            </w:r>
          </w:p>
        </w:tc>
        <w:tc>
          <w:tcPr>
            <w:tcW w:w="1627" w:type="pct"/>
            <w:tcBorders>
              <w:top w:val="single" w:color="auto" w:sz="8" w:space="0"/>
              <w:bottom w:val="single" w:color="auto" w:sz="8" w:space="0"/>
            </w:tcBorders>
            <w:vAlign w:val="center"/>
          </w:tcPr>
          <w:p w14:paraId="510F70DC">
            <w:pPr>
              <w:ind w:firstLine="0" w:firstLineChars="0"/>
              <w:jc w:val="center"/>
              <w:rPr>
                <w:rFonts w:asciiTheme="minorEastAsia" w:hAnsiTheme="minorEastAsia" w:eastAsiaTheme="minorEastAsia"/>
                <w:sz w:val="24"/>
              </w:rPr>
            </w:pPr>
            <w:r>
              <w:rPr>
                <w:rFonts w:hint="eastAsia" w:asciiTheme="minorEastAsia" w:hAnsiTheme="minorEastAsia" w:eastAsiaTheme="minorEastAsia"/>
                <w:sz w:val="24"/>
              </w:rPr>
              <w:t>协助标准文本及编制说明的编写</w:t>
            </w:r>
          </w:p>
        </w:tc>
      </w:tr>
      <w:tr w14:paraId="1134C25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65" w:type="pct"/>
            <w:vAlign w:val="center"/>
          </w:tcPr>
          <w:p w14:paraId="25DF3B5A">
            <w:pPr>
              <w:ind w:firstLine="0" w:firstLineChars="0"/>
              <w:jc w:val="cente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罗  玲</w:t>
            </w:r>
          </w:p>
        </w:tc>
        <w:tc>
          <w:tcPr>
            <w:tcW w:w="788" w:type="pct"/>
            <w:vAlign w:val="center"/>
          </w:tcPr>
          <w:p w14:paraId="0F3F5F06">
            <w:pPr>
              <w:ind w:firstLine="0" w:firstLineChars="0"/>
              <w:jc w:val="cente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主管药师</w:t>
            </w:r>
          </w:p>
        </w:tc>
        <w:tc>
          <w:tcPr>
            <w:tcW w:w="717" w:type="pct"/>
            <w:tcBorders>
              <w:top w:val="single" w:color="auto" w:sz="8" w:space="0"/>
              <w:bottom w:val="single" w:color="auto" w:sz="8" w:space="0"/>
            </w:tcBorders>
            <w:vAlign w:val="center"/>
          </w:tcPr>
          <w:p w14:paraId="73F0960B">
            <w:pPr>
              <w:ind w:firstLine="0" w:firstLineChars="0"/>
              <w:jc w:val="center"/>
              <w:rPr>
                <w:rFonts w:asciiTheme="minorEastAsia" w:hAnsiTheme="minorEastAsia" w:eastAsiaTheme="minorEastAsia"/>
                <w:sz w:val="24"/>
              </w:rPr>
            </w:pPr>
            <w:r>
              <w:rPr>
                <w:rFonts w:hint="eastAsia" w:asciiTheme="minorEastAsia" w:hAnsiTheme="minorEastAsia" w:eastAsiaTheme="minorEastAsia"/>
                <w:sz w:val="24"/>
              </w:rPr>
              <w:t>食品检验</w:t>
            </w:r>
          </w:p>
        </w:tc>
        <w:tc>
          <w:tcPr>
            <w:tcW w:w="1303" w:type="pct"/>
            <w:vAlign w:val="center"/>
          </w:tcPr>
          <w:p w14:paraId="29F569FA">
            <w:pPr>
              <w:ind w:firstLine="0" w:firstLineChars="0"/>
              <w:jc w:val="cente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玉林市食品药品检验检测中心</w:t>
            </w:r>
          </w:p>
        </w:tc>
        <w:tc>
          <w:tcPr>
            <w:tcW w:w="1627" w:type="pct"/>
            <w:tcBorders>
              <w:top w:val="single" w:color="auto" w:sz="8" w:space="0"/>
              <w:bottom w:val="single" w:color="auto" w:sz="8" w:space="0"/>
            </w:tcBorders>
            <w:vAlign w:val="center"/>
          </w:tcPr>
          <w:p w14:paraId="03C5BDA4">
            <w:pPr>
              <w:ind w:firstLine="0" w:firstLineChars="0"/>
              <w:jc w:val="center"/>
              <w:rPr>
                <w:rFonts w:asciiTheme="minorEastAsia" w:hAnsiTheme="minorEastAsia" w:eastAsiaTheme="minorEastAsia"/>
                <w:sz w:val="24"/>
              </w:rPr>
            </w:pPr>
            <w:r>
              <w:rPr>
                <w:rFonts w:hint="eastAsia" w:asciiTheme="minorEastAsia" w:hAnsiTheme="minorEastAsia" w:eastAsiaTheme="minorEastAsia"/>
                <w:sz w:val="24"/>
              </w:rPr>
              <w:t>标准实施宣贯、培训</w:t>
            </w:r>
          </w:p>
        </w:tc>
      </w:tr>
      <w:tr w14:paraId="42FB78F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65" w:type="pct"/>
            <w:vAlign w:val="center"/>
          </w:tcPr>
          <w:p w14:paraId="76110334">
            <w:pPr>
              <w:ind w:firstLine="0" w:firstLineChars="0"/>
              <w:jc w:val="cente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颜其双</w:t>
            </w:r>
          </w:p>
        </w:tc>
        <w:tc>
          <w:tcPr>
            <w:tcW w:w="788" w:type="pct"/>
            <w:vAlign w:val="center"/>
          </w:tcPr>
          <w:p w14:paraId="31A33583">
            <w:pPr>
              <w:ind w:firstLine="0" w:firstLineChars="0"/>
              <w:jc w:val="cente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主管药师</w:t>
            </w:r>
          </w:p>
        </w:tc>
        <w:tc>
          <w:tcPr>
            <w:tcW w:w="717" w:type="pct"/>
            <w:tcBorders>
              <w:top w:val="single" w:color="auto" w:sz="8" w:space="0"/>
              <w:bottom w:val="single" w:color="auto" w:sz="8" w:space="0"/>
            </w:tcBorders>
            <w:vAlign w:val="center"/>
          </w:tcPr>
          <w:p w14:paraId="0FD3043F">
            <w:pPr>
              <w:ind w:firstLine="0" w:firstLineChars="0"/>
              <w:jc w:val="center"/>
              <w:rPr>
                <w:rFonts w:asciiTheme="minorEastAsia" w:hAnsiTheme="minorEastAsia" w:eastAsiaTheme="minorEastAsia"/>
                <w:sz w:val="24"/>
              </w:rPr>
            </w:pPr>
            <w:r>
              <w:rPr>
                <w:rFonts w:hint="eastAsia" w:asciiTheme="minorEastAsia" w:hAnsiTheme="minorEastAsia" w:eastAsiaTheme="minorEastAsia"/>
                <w:sz w:val="24"/>
              </w:rPr>
              <w:t>药品检验</w:t>
            </w:r>
          </w:p>
        </w:tc>
        <w:tc>
          <w:tcPr>
            <w:tcW w:w="1303" w:type="pct"/>
            <w:vAlign w:val="center"/>
          </w:tcPr>
          <w:p w14:paraId="3F1B305F">
            <w:pPr>
              <w:ind w:firstLine="0" w:firstLineChars="0"/>
              <w:jc w:val="cente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广西</w:t>
            </w:r>
            <w:r>
              <w:rPr>
                <w:rFonts w:asciiTheme="minorEastAsia" w:hAnsiTheme="minorEastAsia" w:eastAsiaTheme="minorEastAsia"/>
                <w:color w:val="000000" w:themeColor="text1"/>
                <w:sz w:val="24"/>
                <w14:textFill>
                  <w14:solidFill>
                    <w14:schemeClr w14:val="tx1"/>
                  </w14:solidFill>
                </w14:textFill>
              </w:rPr>
              <w:t>药品检验研究院</w:t>
            </w:r>
          </w:p>
        </w:tc>
        <w:tc>
          <w:tcPr>
            <w:tcW w:w="1627" w:type="pct"/>
            <w:tcBorders>
              <w:top w:val="single" w:color="auto" w:sz="8" w:space="0"/>
              <w:bottom w:val="single" w:color="auto" w:sz="8" w:space="0"/>
            </w:tcBorders>
            <w:vAlign w:val="center"/>
          </w:tcPr>
          <w:p w14:paraId="293E8C1B">
            <w:pPr>
              <w:ind w:firstLine="0" w:firstLineChars="0"/>
              <w:jc w:val="center"/>
              <w:rPr>
                <w:rFonts w:asciiTheme="minorEastAsia" w:hAnsiTheme="minorEastAsia" w:eastAsiaTheme="minorEastAsia"/>
                <w:sz w:val="24"/>
              </w:rPr>
            </w:pPr>
            <w:r>
              <w:rPr>
                <w:rFonts w:hint="eastAsia" w:asciiTheme="minorEastAsia" w:hAnsiTheme="minorEastAsia" w:eastAsiaTheme="minorEastAsia"/>
                <w:sz w:val="24"/>
              </w:rPr>
              <w:t>协助标准文本及编制说明的编写</w:t>
            </w:r>
          </w:p>
        </w:tc>
      </w:tr>
      <w:tr w14:paraId="268ABC1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65" w:type="pct"/>
            <w:vAlign w:val="center"/>
          </w:tcPr>
          <w:p w14:paraId="03614D3F">
            <w:pPr>
              <w:ind w:firstLine="0" w:firstLineChars="0"/>
              <w:jc w:val="cente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陈  宇</w:t>
            </w:r>
          </w:p>
        </w:tc>
        <w:tc>
          <w:tcPr>
            <w:tcW w:w="788" w:type="pct"/>
            <w:vAlign w:val="center"/>
          </w:tcPr>
          <w:p w14:paraId="26A7322B">
            <w:pPr>
              <w:ind w:firstLine="0" w:firstLineChars="0"/>
              <w:jc w:val="cente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副主任药师</w:t>
            </w:r>
          </w:p>
        </w:tc>
        <w:tc>
          <w:tcPr>
            <w:tcW w:w="717" w:type="pct"/>
            <w:tcBorders>
              <w:top w:val="single" w:color="auto" w:sz="8" w:space="0"/>
              <w:bottom w:val="single" w:color="auto" w:sz="8" w:space="0"/>
            </w:tcBorders>
            <w:vAlign w:val="center"/>
          </w:tcPr>
          <w:p w14:paraId="0F3AE29F">
            <w:pPr>
              <w:ind w:firstLine="0" w:firstLineChars="0"/>
              <w:jc w:val="center"/>
              <w:rPr>
                <w:rFonts w:asciiTheme="minorEastAsia" w:hAnsiTheme="minorEastAsia" w:eastAsiaTheme="minorEastAsia"/>
                <w:sz w:val="24"/>
              </w:rPr>
            </w:pPr>
            <w:r>
              <w:rPr>
                <w:rFonts w:hint="eastAsia" w:asciiTheme="minorEastAsia" w:hAnsiTheme="minorEastAsia" w:eastAsiaTheme="minorEastAsia"/>
                <w:sz w:val="24"/>
              </w:rPr>
              <w:t>食品检验</w:t>
            </w:r>
          </w:p>
        </w:tc>
        <w:tc>
          <w:tcPr>
            <w:tcW w:w="1303" w:type="pct"/>
            <w:vAlign w:val="center"/>
          </w:tcPr>
          <w:p w14:paraId="669BADBC">
            <w:pPr>
              <w:ind w:firstLine="0" w:firstLineChars="0"/>
              <w:jc w:val="cente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玉林市食品药品检验检测中心</w:t>
            </w:r>
          </w:p>
        </w:tc>
        <w:tc>
          <w:tcPr>
            <w:tcW w:w="1627" w:type="pct"/>
            <w:tcBorders>
              <w:top w:val="single" w:color="auto" w:sz="8" w:space="0"/>
              <w:bottom w:val="single" w:color="auto" w:sz="8" w:space="0"/>
            </w:tcBorders>
            <w:vAlign w:val="center"/>
          </w:tcPr>
          <w:p w14:paraId="74596FD5">
            <w:pPr>
              <w:ind w:firstLine="0" w:firstLineChars="0"/>
              <w:jc w:val="center"/>
              <w:rPr>
                <w:rFonts w:asciiTheme="minorEastAsia" w:hAnsiTheme="minorEastAsia" w:eastAsiaTheme="minorEastAsia"/>
                <w:sz w:val="24"/>
              </w:rPr>
            </w:pPr>
            <w:r>
              <w:rPr>
                <w:rFonts w:hint="eastAsia" w:asciiTheme="minorEastAsia" w:hAnsiTheme="minorEastAsia" w:eastAsiaTheme="minorEastAsia"/>
                <w:sz w:val="24"/>
              </w:rPr>
              <w:t>项目统筹、指导项目设计、验收、发布等。</w:t>
            </w:r>
          </w:p>
        </w:tc>
      </w:tr>
      <w:tr w14:paraId="6019F01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65" w:type="pct"/>
            <w:vAlign w:val="center"/>
          </w:tcPr>
          <w:p w14:paraId="5D98E281">
            <w:pPr>
              <w:ind w:firstLine="0" w:firstLineChars="0"/>
              <w:jc w:val="cente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周天祥</w:t>
            </w:r>
          </w:p>
        </w:tc>
        <w:tc>
          <w:tcPr>
            <w:tcW w:w="788" w:type="pct"/>
            <w:vAlign w:val="center"/>
          </w:tcPr>
          <w:p w14:paraId="7E0E7A91">
            <w:pPr>
              <w:ind w:firstLine="0" w:firstLineChars="0"/>
              <w:jc w:val="cente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副主任药师</w:t>
            </w:r>
          </w:p>
        </w:tc>
        <w:tc>
          <w:tcPr>
            <w:tcW w:w="717" w:type="pct"/>
            <w:tcBorders>
              <w:top w:val="single" w:color="auto" w:sz="8" w:space="0"/>
              <w:bottom w:val="single" w:color="auto" w:sz="8" w:space="0"/>
            </w:tcBorders>
            <w:vAlign w:val="center"/>
          </w:tcPr>
          <w:p w14:paraId="212148EB">
            <w:pPr>
              <w:ind w:firstLine="0" w:firstLineChars="0"/>
              <w:jc w:val="center"/>
              <w:rPr>
                <w:rFonts w:asciiTheme="minorEastAsia" w:hAnsiTheme="minorEastAsia" w:eastAsiaTheme="minorEastAsia"/>
                <w:sz w:val="24"/>
              </w:rPr>
            </w:pPr>
            <w:r>
              <w:rPr>
                <w:rFonts w:hint="eastAsia" w:asciiTheme="minorEastAsia" w:hAnsiTheme="minorEastAsia" w:eastAsiaTheme="minorEastAsia"/>
                <w:sz w:val="24"/>
              </w:rPr>
              <w:t>食品药品检验检测</w:t>
            </w:r>
          </w:p>
        </w:tc>
        <w:tc>
          <w:tcPr>
            <w:tcW w:w="1303" w:type="pct"/>
            <w:vAlign w:val="center"/>
          </w:tcPr>
          <w:p w14:paraId="4D607876">
            <w:pPr>
              <w:ind w:firstLine="0" w:firstLineChars="0"/>
              <w:jc w:val="cente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玉林市食品药品检验检测中心</w:t>
            </w:r>
          </w:p>
        </w:tc>
        <w:tc>
          <w:tcPr>
            <w:tcW w:w="1627" w:type="pct"/>
            <w:tcBorders>
              <w:top w:val="single" w:color="auto" w:sz="8" w:space="0"/>
              <w:bottom w:val="single" w:color="auto" w:sz="8" w:space="0"/>
            </w:tcBorders>
            <w:vAlign w:val="center"/>
          </w:tcPr>
          <w:p w14:paraId="12B2CA3B">
            <w:pPr>
              <w:ind w:firstLine="0" w:firstLineChars="0"/>
              <w:jc w:val="center"/>
              <w:rPr>
                <w:rFonts w:asciiTheme="minorEastAsia" w:hAnsiTheme="minorEastAsia" w:eastAsiaTheme="minorEastAsia"/>
                <w:sz w:val="24"/>
              </w:rPr>
            </w:pPr>
            <w:r>
              <w:rPr>
                <w:rFonts w:hint="eastAsia" w:asciiTheme="minorEastAsia" w:hAnsiTheme="minorEastAsia" w:eastAsiaTheme="minorEastAsia"/>
                <w:sz w:val="24"/>
              </w:rPr>
              <w:t>立项申报、指导项目设计</w:t>
            </w:r>
          </w:p>
        </w:tc>
      </w:tr>
      <w:tr w14:paraId="5259DB0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65" w:type="pct"/>
            <w:vAlign w:val="center"/>
          </w:tcPr>
          <w:p w14:paraId="393ECAFC">
            <w:pPr>
              <w:ind w:firstLine="0" w:firstLineChars="0"/>
              <w:jc w:val="cente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樊文研</w:t>
            </w:r>
          </w:p>
        </w:tc>
        <w:tc>
          <w:tcPr>
            <w:tcW w:w="788" w:type="pct"/>
            <w:vAlign w:val="center"/>
          </w:tcPr>
          <w:p w14:paraId="0915D895">
            <w:pPr>
              <w:ind w:firstLine="0" w:firstLineChars="0"/>
              <w:jc w:val="cente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主任技师</w:t>
            </w:r>
          </w:p>
        </w:tc>
        <w:tc>
          <w:tcPr>
            <w:tcW w:w="717" w:type="pct"/>
            <w:tcBorders>
              <w:top w:val="single" w:color="auto" w:sz="8" w:space="0"/>
              <w:bottom w:val="single" w:color="auto" w:sz="8" w:space="0"/>
            </w:tcBorders>
            <w:vAlign w:val="center"/>
          </w:tcPr>
          <w:p w14:paraId="11258A4A">
            <w:pPr>
              <w:ind w:firstLine="0" w:firstLineChars="0"/>
              <w:jc w:val="center"/>
              <w:rPr>
                <w:rFonts w:asciiTheme="minorEastAsia" w:hAnsiTheme="minorEastAsia" w:eastAsiaTheme="minorEastAsia"/>
                <w:sz w:val="24"/>
              </w:rPr>
            </w:pPr>
            <w:r>
              <w:rPr>
                <w:rFonts w:hint="eastAsia" w:asciiTheme="minorEastAsia" w:hAnsiTheme="minorEastAsia" w:eastAsiaTheme="minorEastAsia"/>
                <w:sz w:val="24"/>
              </w:rPr>
              <w:t>食品药品检验检测</w:t>
            </w:r>
          </w:p>
        </w:tc>
        <w:tc>
          <w:tcPr>
            <w:tcW w:w="1303" w:type="pct"/>
            <w:vAlign w:val="center"/>
          </w:tcPr>
          <w:p w14:paraId="15F41EBD">
            <w:pPr>
              <w:ind w:firstLine="0" w:firstLineChars="0"/>
              <w:jc w:val="cente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玉林市食品药品检验检测中心</w:t>
            </w:r>
          </w:p>
        </w:tc>
        <w:tc>
          <w:tcPr>
            <w:tcW w:w="1627" w:type="pct"/>
            <w:tcBorders>
              <w:top w:val="single" w:color="auto" w:sz="8" w:space="0"/>
              <w:bottom w:val="single" w:color="auto" w:sz="8" w:space="0"/>
            </w:tcBorders>
            <w:vAlign w:val="center"/>
          </w:tcPr>
          <w:p w14:paraId="0BE90EE9">
            <w:pPr>
              <w:ind w:firstLine="0" w:firstLineChars="0"/>
              <w:jc w:val="center"/>
              <w:rPr>
                <w:rFonts w:asciiTheme="minorEastAsia" w:hAnsiTheme="minorEastAsia" w:eastAsiaTheme="minorEastAsia"/>
                <w:sz w:val="24"/>
              </w:rPr>
            </w:pPr>
            <w:r>
              <w:rPr>
                <w:rFonts w:hint="eastAsia" w:asciiTheme="minorEastAsia" w:hAnsiTheme="minorEastAsia" w:eastAsiaTheme="minorEastAsia"/>
                <w:sz w:val="24"/>
              </w:rPr>
              <w:t>立项申报、指导项目设计</w:t>
            </w:r>
          </w:p>
        </w:tc>
      </w:tr>
      <w:tr w14:paraId="3F2F5A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65" w:type="pct"/>
            <w:vAlign w:val="center"/>
          </w:tcPr>
          <w:p w14:paraId="6AD55B8E">
            <w:pPr>
              <w:ind w:firstLine="0" w:firstLineChars="0"/>
              <w:jc w:val="cente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欧  敏</w:t>
            </w:r>
          </w:p>
        </w:tc>
        <w:tc>
          <w:tcPr>
            <w:tcW w:w="788" w:type="pct"/>
            <w:vAlign w:val="center"/>
          </w:tcPr>
          <w:p w14:paraId="17020CD3">
            <w:pPr>
              <w:ind w:firstLine="0" w:firstLineChars="0"/>
              <w:jc w:val="cente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研究员</w:t>
            </w:r>
          </w:p>
        </w:tc>
        <w:tc>
          <w:tcPr>
            <w:tcW w:w="717" w:type="pct"/>
            <w:tcBorders>
              <w:top w:val="single" w:color="auto" w:sz="8" w:space="0"/>
              <w:bottom w:val="single" w:color="auto" w:sz="8" w:space="0"/>
            </w:tcBorders>
            <w:vAlign w:val="center"/>
          </w:tcPr>
          <w:p w14:paraId="4A959F14">
            <w:pPr>
              <w:ind w:firstLine="0" w:firstLineChars="0"/>
              <w:jc w:val="center"/>
              <w:rPr>
                <w:rFonts w:asciiTheme="minorEastAsia" w:hAnsiTheme="minorEastAsia" w:eastAsiaTheme="minorEastAsia"/>
                <w:sz w:val="24"/>
              </w:rPr>
            </w:pPr>
            <w:r>
              <w:rPr>
                <w:rFonts w:hint="eastAsia" w:asciiTheme="minorEastAsia" w:hAnsiTheme="minorEastAsia" w:eastAsiaTheme="minorEastAsia"/>
                <w:sz w:val="24"/>
              </w:rPr>
              <w:t>药物分析</w:t>
            </w:r>
          </w:p>
        </w:tc>
        <w:tc>
          <w:tcPr>
            <w:tcW w:w="1303" w:type="pct"/>
            <w:vAlign w:val="center"/>
          </w:tcPr>
          <w:p w14:paraId="213181AE">
            <w:pPr>
              <w:ind w:firstLine="0" w:firstLineChars="0"/>
              <w:jc w:val="cente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广西药用植物园</w:t>
            </w:r>
          </w:p>
        </w:tc>
        <w:tc>
          <w:tcPr>
            <w:tcW w:w="1627" w:type="pct"/>
            <w:tcBorders>
              <w:top w:val="single" w:color="auto" w:sz="8" w:space="0"/>
              <w:bottom w:val="single" w:color="auto" w:sz="8" w:space="0"/>
            </w:tcBorders>
            <w:vAlign w:val="center"/>
          </w:tcPr>
          <w:p w14:paraId="12229AC7">
            <w:pPr>
              <w:ind w:firstLine="0" w:firstLineChars="0"/>
              <w:jc w:val="center"/>
              <w:rPr>
                <w:rFonts w:asciiTheme="minorEastAsia" w:hAnsiTheme="minorEastAsia" w:eastAsiaTheme="minorEastAsia"/>
                <w:sz w:val="24"/>
              </w:rPr>
            </w:pPr>
            <w:r>
              <w:rPr>
                <w:rFonts w:hint="eastAsia" w:asciiTheme="minorEastAsia" w:hAnsiTheme="minorEastAsia" w:eastAsiaTheme="minorEastAsia"/>
                <w:sz w:val="24"/>
              </w:rPr>
              <w:t>立项申报、标准起草、发布</w:t>
            </w:r>
          </w:p>
        </w:tc>
      </w:tr>
      <w:tr w14:paraId="6F11F25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65" w:type="pct"/>
            <w:vAlign w:val="center"/>
          </w:tcPr>
          <w:p w14:paraId="53C7E695">
            <w:pPr>
              <w:ind w:firstLine="0" w:firstLineChars="0"/>
              <w:jc w:val="cente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王海波</w:t>
            </w:r>
          </w:p>
        </w:tc>
        <w:tc>
          <w:tcPr>
            <w:tcW w:w="788" w:type="pct"/>
            <w:vAlign w:val="center"/>
          </w:tcPr>
          <w:p w14:paraId="3FF6AC32">
            <w:pPr>
              <w:ind w:firstLine="0" w:firstLineChars="0"/>
              <w:jc w:val="cente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主任药师</w:t>
            </w:r>
          </w:p>
        </w:tc>
        <w:tc>
          <w:tcPr>
            <w:tcW w:w="717" w:type="pct"/>
            <w:tcBorders>
              <w:top w:val="single" w:color="auto" w:sz="8" w:space="0"/>
              <w:bottom w:val="single" w:color="auto" w:sz="8" w:space="0"/>
            </w:tcBorders>
            <w:vAlign w:val="center"/>
          </w:tcPr>
          <w:p w14:paraId="10A4FCB9">
            <w:pPr>
              <w:ind w:firstLine="0" w:firstLineChars="0"/>
              <w:jc w:val="center"/>
              <w:rPr>
                <w:rFonts w:asciiTheme="minorEastAsia" w:hAnsiTheme="minorEastAsia" w:eastAsiaTheme="minorEastAsia"/>
                <w:sz w:val="24"/>
              </w:rPr>
            </w:pPr>
            <w:r>
              <w:rPr>
                <w:rFonts w:hint="eastAsia" w:asciiTheme="minorEastAsia" w:hAnsiTheme="minorEastAsia" w:eastAsiaTheme="minorEastAsia"/>
                <w:sz w:val="24"/>
              </w:rPr>
              <w:t>食品检验</w:t>
            </w:r>
          </w:p>
        </w:tc>
        <w:tc>
          <w:tcPr>
            <w:tcW w:w="1303" w:type="pct"/>
            <w:vAlign w:val="center"/>
          </w:tcPr>
          <w:p w14:paraId="267EAEB8">
            <w:pPr>
              <w:ind w:firstLine="0" w:firstLineChars="0"/>
              <w:jc w:val="cente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广西-东盟食品检验检测中心</w:t>
            </w:r>
          </w:p>
        </w:tc>
        <w:tc>
          <w:tcPr>
            <w:tcW w:w="1627" w:type="pct"/>
            <w:tcBorders>
              <w:top w:val="single" w:color="auto" w:sz="8" w:space="0"/>
              <w:bottom w:val="single" w:color="auto" w:sz="8" w:space="0"/>
            </w:tcBorders>
            <w:vAlign w:val="center"/>
          </w:tcPr>
          <w:p w14:paraId="2F7C69C2">
            <w:pPr>
              <w:ind w:firstLine="0" w:firstLineChars="0"/>
              <w:jc w:val="center"/>
              <w:rPr>
                <w:rFonts w:asciiTheme="minorEastAsia" w:hAnsiTheme="minorEastAsia" w:eastAsiaTheme="minorEastAsia"/>
                <w:sz w:val="24"/>
              </w:rPr>
            </w:pPr>
            <w:r>
              <w:rPr>
                <w:rFonts w:hint="eastAsia" w:asciiTheme="minorEastAsia" w:hAnsiTheme="minorEastAsia" w:eastAsiaTheme="minorEastAsia"/>
                <w:sz w:val="24"/>
              </w:rPr>
              <w:t>立项申报、标准起草、发布</w:t>
            </w:r>
          </w:p>
        </w:tc>
      </w:tr>
      <w:tr w14:paraId="39942C8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65" w:type="pct"/>
            <w:vAlign w:val="center"/>
          </w:tcPr>
          <w:p w14:paraId="2A84B338">
            <w:pPr>
              <w:ind w:firstLine="0" w:firstLineChars="0"/>
              <w:jc w:val="cente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刘</w:t>
            </w:r>
            <w:r>
              <w:rPr>
                <w:rFonts w:asciiTheme="minorEastAsia" w:hAnsiTheme="minorEastAsia" w:eastAsiaTheme="minorEastAsia"/>
                <w:color w:val="000000" w:themeColor="text1"/>
                <w:sz w:val="24"/>
                <w14:textFill>
                  <w14:solidFill>
                    <w14:schemeClr w14:val="tx1"/>
                  </w14:solidFill>
                </w14:textFill>
              </w:rPr>
              <w:t>珈伶</w:t>
            </w:r>
          </w:p>
        </w:tc>
        <w:tc>
          <w:tcPr>
            <w:tcW w:w="788" w:type="pct"/>
            <w:vAlign w:val="center"/>
          </w:tcPr>
          <w:p w14:paraId="7B5E05E4">
            <w:pPr>
              <w:ind w:firstLine="0" w:firstLineChars="0"/>
              <w:jc w:val="cente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副主任药师</w:t>
            </w:r>
          </w:p>
        </w:tc>
        <w:tc>
          <w:tcPr>
            <w:tcW w:w="717" w:type="pct"/>
            <w:tcBorders>
              <w:top w:val="single" w:color="auto" w:sz="8" w:space="0"/>
              <w:bottom w:val="single" w:color="auto" w:sz="8" w:space="0"/>
            </w:tcBorders>
            <w:vAlign w:val="center"/>
          </w:tcPr>
          <w:p w14:paraId="43A36EFB">
            <w:pPr>
              <w:ind w:firstLine="0" w:firstLineChars="0"/>
              <w:jc w:val="center"/>
              <w:rPr>
                <w:rFonts w:asciiTheme="minorEastAsia" w:hAnsiTheme="minorEastAsia" w:eastAsiaTheme="minorEastAsia"/>
                <w:sz w:val="24"/>
              </w:rPr>
            </w:pPr>
            <w:r>
              <w:rPr>
                <w:rFonts w:hint="eastAsia" w:asciiTheme="minorEastAsia" w:hAnsiTheme="minorEastAsia" w:eastAsiaTheme="minorEastAsia"/>
                <w:sz w:val="24"/>
              </w:rPr>
              <w:t>食品检验</w:t>
            </w:r>
          </w:p>
        </w:tc>
        <w:tc>
          <w:tcPr>
            <w:tcW w:w="1303" w:type="pct"/>
            <w:vAlign w:val="center"/>
          </w:tcPr>
          <w:p w14:paraId="5320F99C">
            <w:pPr>
              <w:ind w:firstLine="0" w:firstLineChars="0"/>
              <w:jc w:val="cente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广西-东盟食品检验检测中心</w:t>
            </w:r>
          </w:p>
        </w:tc>
        <w:tc>
          <w:tcPr>
            <w:tcW w:w="1627" w:type="pct"/>
            <w:tcBorders>
              <w:top w:val="single" w:color="auto" w:sz="8" w:space="0"/>
              <w:bottom w:val="single" w:color="auto" w:sz="8" w:space="0"/>
            </w:tcBorders>
            <w:vAlign w:val="center"/>
          </w:tcPr>
          <w:p w14:paraId="442362A4">
            <w:pPr>
              <w:ind w:firstLine="0" w:firstLineChars="0"/>
              <w:jc w:val="center"/>
              <w:rPr>
                <w:rFonts w:asciiTheme="minorEastAsia" w:hAnsiTheme="minorEastAsia" w:eastAsiaTheme="minorEastAsia"/>
                <w:sz w:val="24"/>
              </w:rPr>
            </w:pPr>
            <w:r>
              <w:rPr>
                <w:rFonts w:hint="eastAsia" w:asciiTheme="minorEastAsia" w:hAnsiTheme="minorEastAsia" w:eastAsiaTheme="minorEastAsia"/>
                <w:sz w:val="24"/>
              </w:rPr>
              <w:t>标准起草、发布</w:t>
            </w:r>
          </w:p>
        </w:tc>
      </w:tr>
      <w:tr w14:paraId="611B2BE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65" w:type="pct"/>
            <w:vAlign w:val="center"/>
          </w:tcPr>
          <w:p w14:paraId="3A33BC57">
            <w:pPr>
              <w:ind w:firstLine="0" w:firstLineChars="0"/>
              <w:jc w:val="cente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韦</w:t>
            </w:r>
            <w:r>
              <w:rPr>
                <w:rFonts w:asciiTheme="minorEastAsia" w:hAnsiTheme="minorEastAsia" w:eastAsiaTheme="minorEastAsia"/>
                <w:color w:val="000000" w:themeColor="text1"/>
                <w:sz w:val="24"/>
                <w14:textFill>
                  <w14:solidFill>
                    <w14:schemeClr w14:val="tx1"/>
                  </w14:solidFill>
                </w14:textFill>
              </w:rPr>
              <w:t>升</w:t>
            </w:r>
            <w:r>
              <w:rPr>
                <w:rFonts w:hint="eastAsia" w:asciiTheme="minorEastAsia" w:hAnsiTheme="minorEastAsia" w:eastAsiaTheme="minorEastAsia"/>
                <w:color w:val="000000" w:themeColor="text1"/>
                <w:sz w:val="24"/>
                <w14:textFill>
                  <w14:solidFill>
                    <w14:schemeClr w14:val="tx1"/>
                  </w14:solidFill>
                </w14:textFill>
              </w:rPr>
              <w:t>坚</w:t>
            </w:r>
          </w:p>
        </w:tc>
        <w:tc>
          <w:tcPr>
            <w:tcW w:w="788" w:type="pct"/>
            <w:vAlign w:val="center"/>
          </w:tcPr>
          <w:p w14:paraId="5BCA1427">
            <w:pPr>
              <w:ind w:firstLine="0" w:firstLineChars="0"/>
              <w:jc w:val="cente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副主任药师</w:t>
            </w:r>
          </w:p>
        </w:tc>
        <w:tc>
          <w:tcPr>
            <w:tcW w:w="717" w:type="pct"/>
            <w:tcBorders>
              <w:top w:val="single" w:color="auto" w:sz="8" w:space="0"/>
              <w:bottom w:val="single" w:color="auto" w:sz="8" w:space="0"/>
            </w:tcBorders>
            <w:vAlign w:val="center"/>
          </w:tcPr>
          <w:p w14:paraId="0AFA17BD">
            <w:pPr>
              <w:ind w:firstLine="0" w:firstLineChars="0"/>
              <w:jc w:val="center"/>
              <w:rPr>
                <w:rFonts w:asciiTheme="minorEastAsia" w:hAnsiTheme="minorEastAsia" w:eastAsiaTheme="minorEastAsia"/>
                <w:sz w:val="24"/>
              </w:rPr>
            </w:pPr>
            <w:r>
              <w:rPr>
                <w:rFonts w:hint="eastAsia" w:asciiTheme="minorEastAsia" w:hAnsiTheme="minorEastAsia" w:eastAsiaTheme="minorEastAsia"/>
                <w:sz w:val="24"/>
              </w:rPr>
              <w:t>食品检验</w:t>
            </w:r>
          </w:p>
        </w:tc>
        <w:tc>
          <w:tcPr>
            <w:tcW w:w="1303" w:type="pct"/>
            <w:vAlign w:val="center"/>
          </w:tcPr>
          <w:p w14:paraId="72207C85">
            <w:pPr>
              <w:ind w:firstLine="0" w:firstLineChars="0"/>
              <w:jc w:val="cente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广西-东盟食品检验检测中心</w:t>
            </w:r>
          </w:p>
        </w:tc>
        <w:tc>
          <w:tcPr>
            <w:tcW w:w="1627" w:type="pct"/>
            <w:tcBorders>
              <w:top w:val="single" w:color="auto" w:sz="8" w:space="0"/>
              <w:bottom w:val="single" w:color="auto" w:sz="8" w:space="0"/>
            </w:tcBorders>
            <w:vAlign w:val="center"/>
          </w:tcPr>
          <w:p w14:paraId="369A1B72">
            <w:pPr>
              <w:ind w:firstLine="0" w:firstLineChars="0"/>
              <w:jc w:val="center"/>
              <w:rPr>
                <w:rFonts w:asciiTheme="minorEastAsia" w:hAnsiTheme="minorEastAsia" w:eastAsiaTheme="minorEastAsia"/>
                <w:sz w:val="24"/>
              </w:rPr>
            </w:pPr>
            <w:r>
              <w:rPr>
                <w:rFonts w:hint="eastAsia" w:asciiTheme="minorEastAsia" w:hAnsiTheme="minorEastAsia" w:eastAsiaTheme="minorEastAsia"/>
                <w:sz w:val="24"/>
              </w:rPr>
              <w:t>标准实施宣贯、培训</w:t>
            </w:r>
          </w:p>
        </w:tc>
      </w:tr>
      <w:tr w14:paraId="05767EA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65" w:type="pct"/>
            <w:vAlign w:val="center"/>
          </w:tcPr>
          <w:p w14:paraId="4CDBC79D">
            <w:pPr>
              <w:ind w:firstLine="0" w:firstLineChars="0"/>
              <w:jc w:val="cente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 xml:space="preserve">陈  </w:t>
            </w:r>
            <w:r>
              <w:rPr>
                <w:rFonts w:asciiTheme="minorEastAsia" w:hAnsiTheme="minorEastAsia" w:eastAsiaTheme="minorEastAsia"/>
                <w:color w:val="000000" w:themeColor="text1"/>
                <w:sz w:val="24"/>
                <w14:textFill>
                  <w14:solidFill>
                    <w14:schemeClr w14:val="tx1"/>
                  </w14:solidFill>
                </w14:textFill>
              </w:rPr>
              <w:t>路</w:t>
            </w:r>
          </w:p>
        </w:tc>
        <w:tc>
          <w:tcPr>
            <w:tcW w:w="788" w:type="pct"/>
            <w:vAlign w:val="center"/>
          </w:tcPr>
          <w:p w14:paraId="06D7D9B3">
            <w:pPr>
              <w:ind w:firstLine="0" w:firstLineChars="0"/>
              <w:jc w:val="cente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研究员</w:t>
            </w:r>
          </w:p>
        </w:tc>
        <w:tc>
          <w:tcPr>
            <w:tcW w:w="717" w:type="pct"/>
            <w:tcBorders>
              <w:top w:val="single" w:color="auto" w:sz="8" w:space="0"/>
              <w:bottom w:val="single" w:color="auto" w:sz="8" w:space="0"/>
            </w:tcBorders>
            <w:vAlign w:val="center"/>
          </w:tcPr>
          <w:p w14:paraId="52939DD9">
            <w:pPr>
              <w:ind w:firstLine="0" w:firstLineChars="0"/>
              <w:jc w:val="center"/>
              <w:rPr>
                <w:rFonts w:asciiTheme="minorEastAsia" w:hAnsiTheme="minorEastAsia" w:eastAsiaTheme="minorEastAsia"/>
                <w:sz w:val="24"/>
              </w:rPr>
            </w:pPr>
            <w:r>
              <w:rPr>
                <w:rFonts w:hint="eastAsia" w:asciiTheme="minorEastAsia" w:hAnsiTheme="minorEastAsia" w:eastAsiaTheme="minorEastAsia"/>
                <w:sz w:val="24"/>
              </w:rPr>
              <w:t>药物分析</w:t>
            </w:r>
          </w:p>
        </w:tc>
        <w:tc>
          <w:tcPr>
            <w:tcW w:w="1303" w:type="pct"/>
            <w:vAlign w:val="center"/>
          </w:tcPr>
          <w:p w14:paraId="4758B484">
            <w:pPr>
              <w:ind w:firstLine="0" w:firstLineChars="0"/>
              <w:jc w:val="cente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广西药用植物园</w:t>
            </w:r>
          </w:p>
        </w:tc>
        <w:tc>
          <w:tcPr>
            <w:tcW w:w="1627" w:type="pct"/>
            <w:tcBorders>
              <w:top w:val="single" w:color="auto" w:sz="8" w:space="0"/>
              <w:bottom w:val="single" w:color="auto" w:sz="8" w:space="0"/>
            </w:tcBorders>
            <w:vAlign w:val="center"/>
          </w:tcPr>
          <w:p w14:paraId="545A7296">
            <w:pPr>
              <w:ind w:firstLine="0" w:firstLineChars="0"/>
              <w:jc w:val="center"/>
              <w:rPr>
                <w:rFonts w:asciiTheme="minorEastAsia" w:hAnsiTheme="minorEastAsia" w:eastAsiaTheme="minorEastAsia"/>
                <w:sz w:val="24"/>
              </w:rPr>
            </w:pPr>
            <w:r>
              <w:rPr>
                <w:rFonts w:hint="eastAsia" w:asciiTheme="minorEastAsia" w:hAnsiTheme="minorEastAsia" w:eastAsiaTheme="minorEastAsia"/>
                <w:sz w:val="24"/>
              </w:rPr>
              <w:t>标准实施宣贯、培训</w:t>
            </w:r>
          </w:p>
        </w:tc>
      </w:tr>
      <w:tr w14:paraId="60B0F5A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65" w:type="pct"/>
            <w:vAlign w:val="center"/>
          </w:tcPr>
          <w:p w14:paraId="19A1E2ED">
            <w:pPr>
              <w:ind w:firstLine="0" w:firstLineChars="0"/>
              <w:jc w:val="cente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张</w:t>
            </w:r>
            <w:r>
              <w:rPr>
                <w:rFonts w:asciiTheme="minorEastAsia" w:hAnsiTheme="minorEastAsia" w:eastAsiaTheme="minorEastAsia"/>
                <w:color w:val="000000" w:themeColor="text1"/>
                <w:sz w:val="24"/>
                <w14:textFill>
                  <w14:solidFill>
                    <w14:schemeClr w14:val="tx1"/>
                  </w14:solidFill>
                </w14:textFill>
              </w:rPr>
              <w:t>孟丽</w:t>
            </w:r>
          </w:p>
        </w:tc>
        <w:tc>
          <w:tcPr>
            <w:tcW w:w="788" w:type="pct"/>
            <w:vAlign w:val="center"/>
          </w:tcPr>
          <w:p w14:paraId="20037B2A">
            <w:pPr>
              <w:ind w:firstLine="0" w:firstLineChars="0"/>
              <w:jc w:val="cente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研究员</w:t>
            </w:r>
          </w:p>
        </w:tc>
        <w:tc>
          <w:tcPr>
            <w:tcW w:w="717" w:type="pct"/>
            <w:tcBorders>
              <w:top w:val="single" w:color="auto" w:sz="8" w:space="0"/>
              <w:bottom w:val="single" w:color="auto" w:sz="8" w:space="0"/>
            </w:tcBorders>
            <w:vAlign w:val="center"/>
          </w:tcPr>
          <w:p w14:paraId="3094EF0D">
            <w:pPr>
              <w:ind w:firstLine="0" w:firstLineChars="0"/>
              <w:jc w:val="center"/>
              <w:rPr>
                <w:rFonts w:asciiTheme="minorEastAsia" w:hAnsiTheme="minorEastAsia" w:eastAsiaTheme="minorEastAsia"/>
                <w:sz w:val="24"/>
              </w:rPr>
            </w:pPr>
            <w:r>
              <w:rPr>
                <w:rFonts w:hint="eastAsia" w:asciiTheme="minorEastAsia" w:hAnsiTheme="minorEastAsia" w:eastAsiaTheme="minorEastAsia"/>
                <w:sz w:val="24"/>
              </w:rPr>
              <w:t>药物分析</w:t>
            </w:r>
          </w:p>
        </w:tc>
        <w:tc>
          <w:tcPr>
            <w:tcW w:w="1303" w:type="pct"/>
            <w:vAlign w:val="center"/>
          </w:tcPr>
          <w:p w14:paraId="6C764C89">
            <w:pPr>
              <w:ind w:firstLine="0" w:firstLineChars="0"/>
              <w:jc w:val="cente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广西药用植物园</w:t>
            </w:r>
          </w:p>
        </w:tc>
        <w:tc>
          <w:tcPr>
            <w:tcW w:w="1627" w:type="pct"/>
            <w:tcBorders>
              <w:top w:val="single" w:color="auto" w:sz="8" w:space="0"/>
              <w:bottom w:val="single" w:color="auto" w:sz="8" w:space="0"/>
            </w:tcBorders>
            <w:vAlign w:val="center"/>
          </w:tcPr>
          <w:p w14:paraId="2E38E8FC">
            <w:pPr>
              <w:ind w:firstLine="0" w:firstLineChars="0"/>
              <w:jc w:val="center"/>
              <w:rPr>
                <w:rFonts w:asciiTheme="minorEastAsia" w:hAnsiTheme="minorEastAsia" w:eastAsiaTheme="minorEastAsia"/>
                <w:sz w:val="24"/>
              </w:rPr>
            </w:pPr>
            <w:r>
              <w:rPr>
                <w:rFonts w:hint="eastAsia" w:asciiTheme="minorEastAsia" w:hAnsiTheme="minorEastAsia" w:eastAsiaTheme="minorEastAsia"/>
                <w:sz w:val="24"/>
              </w:rPr>
              <w:t>标准起草、发布</w:t>
            </w:r>
          </w:p>
        </w:tc>
      </w:tr>
      <w:tr w14:paraId="6148F43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65" w:type="pct"/>
            <w:vAlign w:val="center"/>
          </w:tcPr>
          <w:p w14:paraId="7107DB50">
            <w:pPr>
              <w:ind w:firstLine="0" w:firstLineChars="0"/>
              <w:jc w:val="cente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黎  强</w:t>
            </w:r>
          </w:p>
        </w:tc>
        <w:tc>
          <w:tcPr>
            <w:tcW w:w="788" w:type="pct"/>
            <w:vAlign w:val="center"/>
          </w:tcPr>
          <w:p w14:paraId="22F1C692">
            <w:pPr>
              <w:ind w:firstLine="0" w:firstLineChars="0"/>
              <w:jc w:val="cente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主任药师</w:t>
            </w:r>
          </w:p>
        </w:tc>
        <w:tc>
          <w:tcPr>
            <w:tcW w:w="717" w:type="pct"/>
            <w:tcBorders>
              <w:top w:val="single" w:color="auto" w:sz="8" w:space="0"/>
              <w:bottom w:val="single" w:color="auto" w:sz="8" w:space="0"/>
            </w:tcBorders>
            <w:vAlign w:val="center"/>
          </w:tcPr>
          <w:p w14:paraId="0A8083D5">
            <w:pPr>
              <w:ind w:firstLine="0" w:firstLineChars="0"/>
              <w:jc w:val="center"/>
              <w:rPr>
                <w:rFonts w:asciiTheme="minorEastAsia" w:hAnsiTheme="minorEastAsia" w:eastAsiaTheme="minorEastAsia"/>
                <w:sz w:val="24"/>
              </w:rPr>
            </w:pPr>
            <w:r>
              <w:rPr>
                <w:rFonts w:hint="eastAsia" w:asciiTheme="minorEastAsia" w:hAnsiTheme="minorEastAsia" w:eastAsiaTheme="minorEastAsia"/>
                <w:sz w:val="24"/>
              </w:rPr>
              <w:t>食品药品检验检测</w:t>
            </w:r>
          </w:p>
        </w:tc>
        <w:tc>
          <w:tcPr>
            <w:tcW w:w="1303" w:type="pct"/>
            <w:vAlign w:val="center"/>
          </w:tcPr>
          <w:p w14:paraId="36538EBE">
            <w:pPr>
              <w:ind w:firstLine="0" w:firstLineChars="0"/>
              <w:jc w:val="cente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玉林市食品药品检验检测中心</w:t>
            </w:r>
          </w:p>
        </w:tc>
        <w:tc>
          <w:tcPr>
            <w:tcW w:w="1627" w:type="pct"/>
            <w:tcBorders>
              <w:top w:val="single" w:color="auto" w:sz="8" w:space="0"/>
              <w:bottom w:val="single" w:color="auto" w:sz="8" w:space="0"/>
            </w:tcBorders>
            <w:vAlign w:val="center"/>
          </w:tcPr>
          <w:p w14:paraId="186A22CD">
            <w:pPr>
              <w:ind w:firstLine="0" w:firstLineChars="0"/>
              <w:jc w:val="center"/>
              <w:rPr>
                <w:rFonts w:asciiTheme="minorEastAsia" w:hAnsiTheme="minorEastAsia" w:eastAsiaTheme="minorEastAsia"/>
                <w:sz w:val="24"/>
              </w:rPr>
            </w:pPr>
            <w:r>
              <w:rPr>
                <w:rFonts w:hint="eastAsia" w:asciiTheme="minorEastAsia" w:hAnsiTheme="minorEastAsia" w:eastAsiaTheme="minorEastAsia"/>
                <w:sz w:val="24"/>
              </w:rPr>
              <w:t>指导项目设计</w:t>
            </w:r>
          </w:p>
        </w:tc>
      </w:tr>
      <w:tr w14:paraId="3B3547A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65" w:type="pct"/>
            <w:vAlign w:val="center"/>
          </w:tcPr>
          <w:p w14:paraId="5D4A420A">
            <w:pPr>
              <w:ind w:firstLine="0" w:firstLineChars="0"/>
              <w:jc w:val="cente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庞桂娇</w:t>
            </w:r>
          </w:p>
        </w:tc>
        <w:tc>
          <w:tcPr>
            <w:tcW w:w="788" w:type="pct"/>
            <w:vAlign w:val="center"/>
          </w:tcPr>
          <w:p w14:paraId="1DF1CB73">
            <w:pPr>
              <w:ind w:firstLine="0" w:firstLineChars="0"/>
              <w:jc w:val="cente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主管药师</w:t>
            </w:r>
          </w:p>
        </w:tc>
        <w:tc>
          <w:tcPr>
            <w:tcW w:w="717" w:type="pct"/>
            <w:tcBorders>
              <w:top w:val="single" w:color="auto" w:sz="8" w:space="0"/>
              <w:bottom w:val="single" w:color="auto" w:sz="8" w:space="0"/>
            </w:tcBorders>
            <w:vAlign w:val="center"/>
          </w:tcPr>
          <w:p w14:paraId="5558AA52">
            <w:pPr>
              <w:ind w:firstLine="0" w:firstLineChars="0"/>
              <w:jc w:val="center"/>
              <w:rPr>
                <w:rFonts w:asciiTheme="minorEastAsia" w:hAnsiTheme="minorEastAsia" w:eastAsiaTheme="minorEastAsia"/>
                <w:sz w:val="24"/>
              </w:rPr>
            </w:pPr>
            <w:r>
              <w:rPr>
                <w:rFonts w:hint="eastAsia" w:asciiTheme="minorEastAsia" w:hAnsiTheme="minorEastAsia" w:eastAsiaTheme="minorEastAsia"/>
                <w:sz w:val="24"/>
              </w:rPr>
              <w:t>食品药品检验检测</w:t>
            </w:r>
          </w:p>
        </w:tc>
        <w:tc>
          <w:tcPr>
            <w:tcW w:w="1303" w:type="pct"/>
            <w:vAlign w:val="center"/>
          </w:tcPr>
          <w:p w14:paraId="7C3F21B6">
            <w:pPr>
              <w:ind w:firstLine="0" w:firstLineChars="0"/>
              <w:jc w:val="cente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玉林市食品药品检验检测中心</w:t>
            </w:r>
          </w:p>
        </w:tc>
        <w:tc>
          <w:tcPr>
            <w:tcW w:w="1627" w:type="pct"/>
            <w:tcBorders>
              <w:top w:val="single" w:color="auto" w:sz="8" w:space="0"/>
              <w:bottom w:val="single" w:color="auto" w:sz="8" w:space="0"/>
            </w:tcBorders>
            <w:vAlign w:val="center"/>
          </w:tcPr>
          <w:p w14:paraId="7435F4DA">
            <w:pPr>
              <w:ind w:firstLine="0" w:firstLineChars="0"/>
              <w:jc w:val="center"/>
              <w:rPr>
                <w:rFonts w:asciiTheme="minorEastAsia" w:hAnsiTheme="minorEastAsia" w:eastAsiaTheme="minorEastAsia"/>
                <w:sz w:val="24"/>
              </w:rPr>
            </w:pPr>
            <w:r>
              <w:rPr>
                <w:rFonts w:hint="eastAsia" w:asciiTheme="minorEastAsia" w:hAnsiTheme="minorEastAsia" w:eastAsiaTheme="minorEastAsia"/>
                <w:sz w:val="24"/>
              </w:rPr>
              <w:t>协助标准文本及编制说明的编写</w:t>
            </w:r>
          </w:p>
        </w:tc>
      </w:tr>
      <w:tr w14:paraId="04D0D8F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65" w:type="pct"/>
            <w:vAlign w:val="center"/>
          </w:tcPr>
          <w:p w14:paraId="6C790038">
            <w:pPr>
              <w:ind w:firstLine="0" w:firstLineChars="0"/>
              <w:jc w:val="cente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韦  应</w:t>
            </w:r>
          </w:p>
        </w:tc>
        <w:tc>
          <w:tcPr>
            <w:tcW w:w="788" w:type="pct"/>
            <w:vAlign w:val="center"/>
          </w:tcPr>
          <w:p w14:paraId="1CB0E6E3">
            <w:pPr>
              <w:ind w:firstLine="0" w:firstLineChars="0"/>
              <w:jc w:val="cente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高级工程师</w:t>
            </w:r>
          </w:p>
        </w:tc>
        <w:tc>
          <w:tcPr>
            <w:tcW w:w="717" w:type="pct"/>
            <w:tcBorders>
              <w:top w:val="single" w:color="auto" w:sz="8" w:space="0"/>
              <w:bottom w:val="single" w:color="auto" w:sz="8" w:space="0"/>
            </w:tcBorders>
            <w:vAlign w:val="center"/>
          </w:tcPr>
          <w:p w14:paraId="085F339B">
            <w:pPr>
              <w:ind w:firstLine="0" w:firstLineChars="0"/>
              <w:jc w:val="center"/>
              <w:rPr>
                <w:rFonts w:asciiTheme="minorEastAsia" w:hAnsiTheme="minorEastAsia" w:eastAsiaTheme="minorEastAsia"/>
                <w:sz w:val="24"/>
              </w:rPr>
            </w:pPr>
            <w:r>
              <w:rPr>
                <w:rFonts w:hint="eastAsia" w:asciiTheme="minorEastAsia" w:hAnsiTheme="minorEastAsia" w:eastAsiaTheme="minorEastAsia"/>
                <w:sz w:val="24"/>
              </w:rPr>
              <w:t>食品药品检验检测</w:t>
            </w:r>
          </w:p>
        </w:tc>
        <w:tc>
          <w:tcPr>
            <w:tcW w:w="1303" w:type="pct"/>
            <w:vAlign w:val="center"/>
          </w:tcPr>
          <w:p w14:paraId="47BA4403">
            <w:pPr>
              <w:ind w:firstLine="0" w:firstLineChars="0"/>
              <w:jc w:val="cente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玉林市食品药品检验检测中心</w:t>
            </w:r>
          </w:p>
        </w:tc>
        <w:tc>
          <w:tcPr>
            <w:tcW w:w="1627" w:type="pct"/>
            <w:tcBorders>
              <w:top w:val="single" w:color="auto" w:sz="8" w:space="0"/>
              <w:bottom w:val="single" w:color="auto" w:sz="8" w:space="0"/>
            </w:tcBorders>
            <w:vAlign w:val="center"/>
          </w:tcPr>
          <w:p w14:paraId="4766CE73">
            <w:pPr>
              <w:ind w:firstLine="0" w:firstLineChars="0"/>
              <w:jc w:val="center"/>
              <w:rPr>
                <w:rFonts w:asciiTheme="minorEastAsia" w:hAnsiTheme="minorEastAsia" w:eastAsiaTheme="minorEastAsia"/>
                <w:sz w:val="24"/>
              </w:rPr>
            </w:pPr>
            <w:r>
              <w:rPr>
                <w:rFonts w:hint="eastAsia" w:asciiTheme="minorEastAsia" w:hAnsiTheme="minorEastAsia" w:eastAsiaTheme="minorEastAsia"/>
                <w:sz w:val="24"/>
              </w:rPr>
              <w:t>协助标准文本及编制说明的编写</w:t>
            </w:r>
          </w:p>
        </w:tc>
      </w:tr>
      <w:tr w14:paraId="7F746F6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65" w:type="pct"/>
            <w:vAlign w:val="center"/>
          </w:tcPr>
          <w:p w14:paraId="49D27DB4">
            <w:pPr>
              <w:ind w:firstLine="0" w:firstLineChars="0"/>
              <w:jc w:val="cente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莫贵情</w:t>
            </w:r>
          </w:p>
        </w:tc>
        <w:tc>
          <w:tcPr>
            <w:tcW w:w="788" w:type="pct"/>
            <w:vAlign w:val="center"/>
          </w:tcPr>
          <w:p w14:paraId="248EA7FD">
            <w:pPr>
              <w:ind w:firstLine="0" w:firstLineChars="0"/>
              <w:jc w:val="cente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高级工程师</w:t>
            </w:r>
          </w:p>
        </w:tc>
        <w:tc>
          <w:tcPr>
            <w:tcW w:w="717" w:type="pct"/>
            <w:tcBorders>
              <w:top w:val="single" w:color="auto" w:sz="8" w:space="0"/>
              <w:bottom w:val="single" w:color="auto" w:sz="8" w:space="0"/>
            </w:tcBorders>
            <w:vAlign w:val="center"/>
          </w:tcPr>
          <w:p w14:paraId="53EAC7BF">
            <w:pPr>
              <w:ind w:firstLine="0" w:firstLineChars="0"/>
              <w:jc w:val="center"/>
              <w:rPr>
                <w:rFonts w:asciiTheme="minorEastAsia" w:hAnsiTheme="minorEastAsia" w:eastAsiaTheme="minorEastAsia"/>
                <w:sz w:val="24"/>
              </w:rPr>
            </w:pPr>
            <w:r>
              <w:rPr>
                <w:rFonts w:hint="eastAsia" w:asciiTheme="minorEastAsia" w:hAnsiTheme="minorEastAsia" w:eastAsiaTheme="minorEastAsia"/>
                <w:sz w:val="24"/>
              </w:rPr>
              <w:t>抽样</w:t>
            </w:r>
          </w:p>
        </w:tc>
        <w:tc>
          <w:tcPr>
            <w:tcW w:w="1303" w:type="pct"/>
            <w:vAlign w:val="center"/>
          </w:tcPr>
          <w:p w14:paraId="37A97786">
            <w:pPr>
              <w:ind w:firstLine="0" w:firstLineChars="0"/>
              <w:jc w:val="cente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玉林市食品药品检验检测中心</w:t>
            </w:r>
          </w:p>
        </w:tc>
        <w:tc>
          <w:tcPr>
            <w:tcW w:w="1627" w:type="pct"/>
            <w:tcBorders>
              <w:top w:val="single" w:color="auto" w:sz="8" w:space="0"/>
              <w:bottom w:val="single" w:color="auto" w:sz="8" w:space="0"/>
            </w:tcBorders>
            <w:vAlign w:val="center"/>
          </w:tcPr>
          <w:p w14:paraId="15122F73">
            <w:pPr>
              <w:ind w:firstLine="0" w:firstLineChars="0"/>
              <w:jc w:val="center"/>
              <w:rPr>
                <w:rFonts w:asciiTheme="minorEastAsia" w:hAnsiTheme="minorEastAsia" w:eastAsiaTheme="minorEastAsia"/>
                <w:sz w:val="24"/>
              </w:rPr>
            </w:pPr>
            <w:r>
              <w:rPr>
                <w:rFonts w:hint="eastAsia" w:asciiTheme="minorEastAsia" w:hAnsiTheme="minorEastAsia" w:eastAsiaTheme="minorEastAsia"/>
                <w:sz w:val="24"/>
              </w:rPr>
              <w:t>标准实施宣贯、培训</w:t>
            </w:r>
          </w:p>
        </w:tc>
      </w:tr>
      <w:tr w14:paraId="46E650A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65" w:type="pct"/>
            <w:vAlign w:val="center"/>
          </w:tcPr>
          <w:p w14:paraId="40CF58CD">
            <w:pPr>
              <w:ind w:firstLine="0" w:firstLineChars="0"/>
              <w:jc w:val="cente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周晓婷</w:t>
            </w:r>
          </w:p>
        </w:tc>
        <w:tc>
          <w:tcPr>
            <w:tcW w:w="788" w:type="pct"/>
            <w:vAlign w:val="center"/>
          </w:tcPr>
          <w:p w14:paraId="6F0644C7">
            <w:pPr>
              <w:ind w:firstLine="0" w:firstLineChars="0"/>
              <w:jc w:val="cente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高级工程师</w:t>
            </w:r>
          </w:p>
        </w:tc>
        <w:tc>
          <w:tcPr>
            <w:tcW w:w="717" w:type="pct"/>
            <w:tcBorders>
              <w:top w:val="single" w:color="auto" w:sz="8" w:space="0"/>
              <w:bottom w:val="single" w:color="auto" w:sz="8" w:space="0"/>
            </w:tcBorders>
            <w:vAlign w:val="center"/>
          </w:tcPr>
          <w:p w14:paraId="36C4DDCE">
            <w:pPr>
              <w:ind w:firstLine="0" w:firstLineChars="0"/>
              <w:jc w:val="center"/>
              <w:rPr>
                <w:rFonts w:asciiTheme="minorEastAsia" w:hAnsiTheme="minorEastAsia" w:eastAsiaTheme="minorEastAsia"/>
                <w:sz w:val="24"/>
              </w:rPr>
            </w:pPr>
            <w:r>
              <w:rPr>
                <w:rFonts w:hint="eastAsia" w:asciiTheme="minorEastAsia" w:hAnsiTheme="minorEastAsia" w:eastAsiaTheme="minorEastAsia"/>
                <w:sz w:val="24"/>
              </w:rPr>
              <w:t>食品药品检验检测</w:t>
            </w:r>
          </w:p>
        </w:tc>
        <w:tc>
          <w:tcPr>
            <w:tcW w:w="1303" w:type="pct"/>
            <w:vAlign w:val="center"/>
          </w:tcPr>
          <w:p w14:paraId="3CC353B9">
            <w:pPr>
              <w:ind w:firstLine="0" w:firstLineChars="0"/>
              <w:jc w:val="cente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玉林市食品药品检验检测中心</w:t>
            </w:r>
          </w:p>
        </w:tc>
        <w:tc>
          <w:tcPr>
            <w:tcW w:w="1627" w:type="pct"/>
            <w:tcBorders>
              <w:top w:val="single" w:color="auto" w:sz="8" w:space="0"/>
              <w:bottom w:val="single" w:color="auto" w:sz="8" w:space="0"/>
            </w:tcBorders>
            <w:vAlign w:val="center"/>
          </w:tcPr>
          <w:p w14:paraId="1E9A092C">
            <w:pPr>
              <w:ind w:firstLine="0" w:firstLineChars="0"/>
              <w:jc w:val="center"/>
              <w:rPr>
                <w:rFonts w:asciiTheme="minorEastAsia" w:hAnsiTheme="minorEastAsia" w:eastAsiaTheme="minorEastAsia"/>
                <w:sz w:val="24"/>
              </w:rPr>
            </w:pPr>
            <w:r>
              <w:rPr>
                <w:rFonts w:hint="eastAsia" w:asciiTheme="minorEastAsia" w:hAnsiTheme="minorEastAsia" w:eastAsiaTheme="minorEastAsia"/>
                <w:sz w:val="24"/>
              </w:rPr>
              <w:t>立项申报、数据资料收集</w:t>
            </w:r>
          </w:p>
        </w:tc>
      </w:tr>
      <w:tr w14:paraId="2813B6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65" w:type="pct"/>
            <w:vAlign w:val="center"/>
          </w:tcPr>
          <w:p w14:paraId="24D70240">
            <w:pPr>
              <w:ind w:firstLine="0" w:firstLineChars="0"/>
              <w:jc w:val="cente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庞</w:t>
            </w:r>
            <w:r>
              <w:rPr>
                <w:rFonts w:asciiTheme="minorEastAsia" w:hAnsiTheme="minorEastAsia" w:eastAsiaTheme="minorEastAsia"/>
                <w:color w:val="000000" w:themeColor="text1"/>
                <w:sz w:val="24"/>
                <w14:textFill>
                  <w14:solidFill>
                    <w14:schemeClr w14:val="tx1"/>
                  </w14:solidFill>
                </w14:textFill>
              </w:rPr>
              <w:t>小莲</w:t>
            </w:r>
          </w:p>
        </w:tc>
        <w:tc>
          <w:tcPr>
            <w:tcW w:w="788" w:type="pct"/>
            <w:vAlign w:val="center"/>
          </w:tcPr>
          <w:p w14:paraId="47594666">
            <w:pPr>
              <w:ind w:firstLine="0" w:firstLineChars="0"/>
              <w:jc w:val="cente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副主任药师</w:t>
            </w:r>
          </w:p>
        </w:tc>
        <w:tc>
          <w:tcPr>
            <w:tcW w:w="717" w:type="pct"/>
            <w:tcBorders>
              <w:top w:val="single" w:color="auto" w:sz="8" w:space="0"/>
              <w:bottom w:val="single" w:color="auto" w:sz="8" w:space="0"/>
            </w:tcBorders>
            <w:vAlign w:val="center"/>
          </w:tcPr>
          <w:p w14:paraId="710DC4BA">
            <w:pPr>
              <w:ind w:firstLine="0" w:firstLineChars="0"/>
              <w:jc w:val="center"/>
              <w:rPr>
                <w:rFonts w:asciiTheme="minorEastAsia" w:hAnsiTheme="minorEastAsia" w:eastAsiaTheme="minorEastAsia"/>
                <w:sz w:val="24"/>
              </w:rPr>
            </w:pPr>
            <w:r>
              <w:rPr>
                <w:rFonts w:hint="eastAsia" w:asciiTheme="minorEastAsia" w:hAnsiTheme="minorEastAsia" w:eastAsiaTheme="minorEastAsia"/>
                <w:sz w:val="24"/>
              </w:rPr>
              <w:t>食品药品检验检测</w:t>
            </w:r>
          </w:p>
        </w:tc>
        <w:tc>
          <w:tcPr>
            <w:tcW w:w="1303" w:type="pct"/>
            <w:vAlign w:val="center"/>
          </w:tcPr>
          <w:p w14:paraId="35F46907">
            <w:pPr>
              <w:ind w:firstLine="0" w:firstLineChars="0"/>
              <w:jc w:val="cente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玉林市食品药品检验检测中心</w:t>
            </w:r>
          </w:p>
        </w:tc>
        <w:tc>
          <w:tcPr>
            <w:tcW w:w="1627" w:type="pct"/>
            <w:tcBorders>
              <w:top w:val="single" w:color="auto" w:sz="8" w:space="0"/>
              <w:bottom w:val="single" w:color="auto" w:sz="8" w:space="0"/>
            </w:tcBorders>
            <w:vAlign w:val="center"/>
          </w:tcPr>
          <w:p w14:paraId="1C8DCC69">
            <w:pPr>
              <w:ind w:firstLine="0" w:firstLineChars="0"/>
              <w:jc w:val="center"/>
              <w:rPr>
                <w:rFonts w:asciiTheme="minorEastAsia" w:hAnsiTheme="minorEastAsia" w:eastAsiaTheme="minorEastAsia"/>
                <w:sz w:val="24"/>
              </w:rPr>
            </w:pPr>
            <w:r>
              <w:rPr>
                <w:rFonts w:hint="eastAsia" w:asciiTheme="minorEastAsia" w:hAnsiTheme="minorEastAsia" w:eastAsiaTheme="minorEastAsia"/>
                <w:sz w:val="24"/>
              </w:rPr>
              <w:t>标准实施宣贯、培训</w:t>
            </w:r>
          </w:p>
        </w:tc>
      </w:tr>
      <w:tr w14:paraId="03172AD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65" w:type="pct"/>
            <w:vAlign w:val="center"/>
          </w:tcPr>
          <w:p w14:paraId="29B36898">
            <w:pPr>
              <w:ind w:firstLine="0" w:firstLineChars="0"/>
              <w:jc w:val="cente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陈婷婷</w:t>
            </w:r>
          </w:p>
        </w:tc>
        <w:tc>
          <w:tcPr>
            <w:tcW w:w="788" w:type="pct"/>
            <w:vAlign w:val="center"/>
          </w:tcPr>
          <w:p w14:paraId="672B27B2">
            <w:pPr>
              <w:ind w:firstLine="0" w:firstLineChars="0"/>
              <w:jc w:val="cente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工程师</w:t>
            </w:r>
          </w:p>
        </w:tc>
        <w:tc>
          <w:tcPr>
            <w:tcW w:w="717" w:type="pct"/>
            <w:tcBorders>
              <w:top w:val="single" w:color="auto" w:sz="8" w:space="0"/>
              <w:bottom w:val="single" w:color="auto" w:sz="8" w:space="0"/>
            </w:tcBorders>
            <w:vAlign w:val="center"/>
          </w:tcPr>
          <w:p w14:paraId="72ADB581">
            <w:pPr>
              <w:ind w:firstLine="0" w:firstLineChars="0"/>
              <w:jc w:val="center"/>
              <w:rPr>
                <w:rFonts w:asciiTheme="minorEastAsia" w:hAnsiTheme="minorEastAsia" w:eastAsiaTheme="minorEastAsia"/>
                <w:sz w:val="24"/>
              </w:rPr>
            </w:pPr>
            <w:r>
              <w:rPr>
                <w:rFonts w:hint="eastAsia" w:asciiTheme="minorEastAsia" w:hAnsiTheme="minorEastAsia" w:eastAsiaTheme="minorEastAsia"/>
                <w:sz w:val="24"/>
              </w:rPr>
              <w:t>食品药品检验检测</w:t>
            </w:r>
          </w:p>
        </w:tc>
        <w:tc>
          <w:tcPr>
            <w:tcW w:w="1303" w:type="pct"/>
            <w:vAlign w:val="center"/>
          </w:tcPr>
          <w:p w14:paraId="09E9D741">
            <w:pPr>
              <w:ind w:firstLine="0" w:firstLineChars="0"/>
              <w:jc w:val="cente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玉林市食品药品检验检测中心</w:t>
            </w:r>
          </w:p>
        </w:tc>
        <w:tc>
          <w:tcPr>
            <w:tcW w:w="1627" w:type="pct"/>
            <w:tcBorders>
              <w:top w:val="single" w:color="auto" w:sz="8" w:space="0"/>
              <w:bottom w:val="single" w:color="auto" w:sz="8" w:space="0"/>
            </w:tcBorders>
            <w:vAlign w:val="center"/>
          </w:tcPr>
          <w:p w14:paraId="6D41334F">
            <w:pPr>
              <w:ind w:firstLine="0" w:firstLineChars="0"/>
              <w:jc w:val="center"/>
              <w:rPr>
                <w:rFonts w:asciiTheme="minorEastAsia" w:hAnsiTheme="minorEastAsia" w:eastAsiaTheme="minorEastAsia"/>
                <w:sz w:val="24"/>
              </w:rPr>
            </w:pPr>
            <w:r>
              <w:rPr>
                <w:rFonts w:hint="eastAsia" w:asciiTheme="minorEastAsia" w:hAnsiTheme="minorEastAsia" w:eastAsiaTheme="minorEastAsia"/>
                <w:sz w:val="24"/>
              </w:rPr>
              <w:t>标准实施宣贯、培训</w:t>
            </w:r>
          </w:p>
        </w:tc>
      </w:tr>
      <w:tr w14:paraId="2D0DF9F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65" w:type="pct"/>
            <w:vAlign w:val="center"/>
          </w:tcPr>
          <w:p w14:paraId="0381E7D4">
            <w:pPr>
              <w:ind w:firstLine="0" w:firstLineChars="0"/>
              <w:jc w:val="cente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唐明华</w:t>
            </w:r>
          </w:p>
        </w:tc>
        <w:tc>
          <w:tcPr>
            <w:tcW w:w="788" w:type="pct"/>
            <w:vAlign w:val="center"/>
          </w:tcPr>
          <w:p w14:paraId="56FFD8CD">
            <w:pPr>
              <w:ind w:firstLine="0" w:firstLineChars="0"/>
              <w:jc w:val="cente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工程师</w:t>
            </w:r>
          </w:p>
        </w:tc>
        <w:tc>
          <w:tcPr>
            <w:tcW w:w="717" w:type="pct"/>
            <w:tcBorders>
              <w:top w:val="single" w:color="auto" w:sz="8" w:space="0"/>
              <w:bottom w:val="single" w:color="auto" w:sz="8" w:space="0"/>
            </w:tcBorders>
            <w:vAlign w:val="center"/>
          </w:tcPr>
          <w:p w14:paraId="66A764CA">
            <w:pPr>
              <w:ind w:firstLine="0" w:firstLineChars="0"/>
              <w:jc w:val="center"/>
              <w:rPr>
                <w:rFonts w:asciiTheme="minorEastAsia" w:hAnsiTheme="minorEastAsia" w:eastAsiaTheme="minorEastAsia"/>
                <w:sz w:val="24"/>
              </w:rPr>
            </w:pPr>
            <w:r>
              <w:rPr>
                <w:rFonts w:hint="eastAsia" w:asciiTheme="minorEastAsia" w:hAnsiTheme="minorEastAsia" w:eastAsiaTheme="minorEastAsia"/>
                <w:sz w:val="24"/>
              </w:rPr>
              <w:t>食品检验</w:t>
            </w:r>
          </w:p>
        </w:tc>
        <w:tc>
          <w:tcPr>
            <w:tcW w:w="1303" w:type="pct"/>
            <w:vAlign w:val="center"/>
          </w:tcPr>
          <w:p w14:paraId="3EAFD5D6">
            <w:pPr>
              <w:ind w:firstLine="0" w:firstLineChars="0"/>
              <w:jc w:val="cente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玉林市食品药品检验检测中心</w:t>
            </w:r>
          </w:p>
        </w:tc>
        <w:tc>
          <w:tcPr>
            <w:tcW w:w="1627" w:type="pct"/>
            <w:tcBorders>
              <w:top w:val="single" w:color="auto" w:sz="8" w:space="0"/>
              <w:bottom w:val="single" w:color="auto" w:sz="8" w:space="0"/>
            </w:tcBorders>
            <w:vAlign w:val="center"/>
          </w:tcPr>
          <w:p w14:paraId="35E53D7F">
            <w:pPr>
              <w:ind w:firstLine="0" w:firstLineChars="0"/>
              <w:jc w:val="center"/>
              <w:rPr>
                <w:rFonts w:asciiTheme="minorEastAsia" w:hAnsiTheme="minorEastAsia" w:eastAsiaTheme="minorEastAsia"/>
                <w:sz w:val="24"/>
              </w:rPr>
            </w:pPr>
            <w:r>
              <w:rPr>
                <w:rFonts w:hint="eastAsia" w:asciiTheme="minorEastAsia" w:hAnsiTheme="minorEastAsia" w:eastAsiaTheme="minorEastAsia"/>
                <w:sz w:val="24"/>
              </w:rPr>
              <w:t>协助标准文本及编制说明的编写</w:t>
            </w:r>
          </w:p>
        </w:tc>
      </w:tr>
      <w:tr w14:paraId="1DDD2D6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65" w:type="pct"/>
            <w:vAlign w:val="center"/>
          </w:tcPr>
          <w:p w14:paraId="6782E750">
            <w:pPr>
              <w:ind w:firstLine="0" w:firstLineChars="0"/>
              <w:jc w:val="cente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卢爱玉</w:t>
            </w:r>
          </w:p>
        </w:tc>
        <w:tc>
          <w:tcPr>
            <w:tcW w:w="788" w:type="pct"/>
            <w:vAlign w:val="center"/>
          </w:tcPr>
          <w:p w14:paraId="473A10AF">
            <w:pPr>
              <w:ind w:firstLine="0" w:firstLineChars="0"/>
              <w:jc w:val="cente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w:t>
            </w:r>
          </w:p>
        </w:tc>
        <w:tc>
          <w:tcPr>
            <w:tcW w:w="717" w:type="pct"/>
            <w:tcBorders>
              <w:top w:val="single" w:color="auto" w:sz="8" w:space="0"/>
              <w:bottom w:val="single" w:color="auto" w:sz="8" w:space="0"/>
            </w:tcBorders>
            <w:vAlign w:val="center"/>
          </w:tcPr>
          <w:p w14:paraId="565D04B7">
            <w:pPr>
              <w:ind w:firstLine="0" w:firstLineChars="0"/>
              <w:jc w:val="center"/>
              <w:rPr>
                <w:rFonts w:asciiTheme="minorEastAsia" w:hAnsiTheme="minorEastAsia" w:eastAsiaTheme="minorEastAsia"/>
                <w:sz w:val="24"/>
              </w:rPr>
            </w:pPr>
            <w:r>
              <w:rPr>
                <w:rFonts w:hint="eastAsia" w:asciiTheme="minorEastAsia" w:hAnsiTheme="minorEastAsia" w:eastAsiaTheme="minorEastAsia"/>
                <w:sz w:val="24"/>
              </w:rPr>
              <w:t>食品检验</w:t>
            </w:r>
          </w:p>
        </w:tc>
        <w:tc>
          <w:tcPr>
            <w:tcW w:w="1303" w:type="pct"/>
            <w:vAlign w:val="center"/>
          </w:tcPr>
          <w:p w14:paraId="71EFCE97">
            <w:pPr>
              <w:ind w:firstLine="0" w:firstLineChars="0"/>
              <w:jc w:val="cente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玉林市食品药品检验检测中心</w:t>
            </w:r>
          </w:p>
        </w:tc>
        <w:tc>
          <w:tcPr>
            <w:tcW w:w="1627" w:type="pct"/>
            <w:tcBorders>
              <w:top w:val="single" w:color="auto" w:sz="8" w:space="0"/>
              <w:bottom w:val="single" w:color="auto" w:sz="8" w:space="0"/>
            </w:tcBorders>
            <w:vAlign w:val="center"/>
          </w:tcPr>
          <w:p w14:paraId="3C13727A">
            <w:pPr>
              <w:ind w:firstLine="0" w:firstLineChars="0"/>
              <w:jc w:val="center"/>
              <w:rPr>
                <w:rFonts w:asciiTheme="minorEastAsia" w:hAnsiTheme="minorEastAsia" w:eastAsiaTheme="minorEastAsia"/>
                <w:sz w:val="24"/>
              </w:rPr>
            </w:pPr>
            <w:r>
              <w:rPr>
                <w:rFonts w:hint="eastAsia" w:asciiTheme="minorEastAsia" w:hAnsiTheme="minorEastAsia" w:eastAsiaTheme="minorEastAsia"/>
                <w:sz w:val="24"/>
              </w:rPr>
              <w:t>标准起草、发布</w:t>
            </w:r>
          </w:p>
        </w:tc>
      </w:tr>
      <w:tr w14:paraId="12F18EB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65" w:type="pct"/>
            <w:vAlign w:val="center"/>
          </w:tcPr>
          <w:p w14:paraId="0BF0A237">
            <w:pPr>
              <w:ind w:firstLine="0" w:firstLineChars="0"/>
              <w:jc w:val="center"/>
              <w:rPr>
                <w:rFonts w:asciiTheme="minorEastAsia" w:hAnsiTheme="minorEastAsia" w:eastAsiaTheme="minorEastAsia"/>
                <w:color w:val="000000" w:themeColor="text1"/>
                <w:sz w:val="24"/>
                <w14:textFill>
                  <w14:solidFill>
                    <w14:schemeClr w14:val="tx1"/>
                  </w14:solidFill>
                </w14:textFill>
              </w:rPr>
            </w:pPr>
            <w:r>
              <w:rPr>
                <w:rFonts w:asciiTheme="minorEastAsia" w:hAnsiTheme="minorEastAsia" w:eastAsiaTheme="minorEastAsia"/>
                <w:color w:val="000000" w:themeColor="text1"/>
                <w:sz w:val="24"/>
                <w14:textFill>
                  <w14:solidFill>
                    <w14:schemeClr w14:val="tx1"/>
                  </w14:solidFill>
                </w14:textFill>
              </w:rPr>
              <w:t>甘洋萦</w:t>
            </w:r>
          </w:p>
        </w:tc>
        <w:tc>
          <w:tcPr>
            <w:tcW w:w="788" w:type="pct"/>
            <w:vAlign w:val="center"/>
          </w:tcPr>
          <w:p w14:paraId="5E80A6BF">
            <w:pPr>
              <w:ind w:firstLine="0" w:firstLineChars="0"/>
              <w:jc w:val="center"/>
              <w:rPr>
                <w:rFonts w:asciiTheme="minorEastAsia" w:hAnsiTheme="minorEastAsia" w:eastAsiaTheme="minorEastAsia"/>
                <w:color w:val="000000" w:themeColor="text1"/>
                <w:sz w:val="24"/>
                <w14:textFill>
                  <w14:solidFill>
                    <w14:schemeClr w14:val="tx1"/>
                  </w14:solidFill>
                </w14:textFill>
              </w:rPr>
            </w:pPr>
            <w:r>
              <w:rPr>
                <w:rFonts w:asciiTheme="minorEastAsia" w:hAnsiTheme="minorEastAsia" w:eastAsiaTheme="minorEastAsia"/>
                <w:color w:val="000000" w:themeColor="text1"/>
                <w:sz w:val="24"/>
                <w14:textFill>
                  <w14:solidFill>
                    <w14:schemeClr w14:val="tx1"/>
                  </w14:solidFill>
                </w14:textFill>
              </w:rPr>
              <w:t>高级工程师</w:t>
            </w:r>
          </w:p>
        </w:tc>
        <w:tc>
          <w:tcPr>
            <w:tcW w:w="717" w:type="pct"/>
            <w:tcBorders>
              <w:top w:val="single" w:color="auto" w:sz="8" w:space="0"/>
              <w:bottom w:val="single" w:color="auto" w:sz="8" w:space="0"/>
            </w:tcBorders>
            <w:vAlign w:val="center"/>
          </w:tcPr>
          <w:p w14:paraId="0AFFF10B">
            <w:pPr>
              <w:ind w:firstLine="0" w:firstLineChars="0"/>
              <w:jc w:val="center"/>
              <w:rPr>
                <w:rFonts w:asciiTheme="minorEastAsia" w:hAnsiTheme="minorEastAsia" w:eastAsiaTheme="minorEastAsia"/>
                <w:sz w:val="24"/>
              </w:rPr>
            </w:pPr>
            <w:r>
              <w:rPr>
                <w:rFonts w:hint="eastAsia" w:asciiTheme="minorEastAsia" w:hAnsiTheme="minorEastAsia" w:eastAsiaTheme="minorEastAsia"/>
                <w:sz w:val="24"/>
              </w:rPr>
              <w:t>食品药品检验检测</w:t>
            </w:r>
          </w:p>
        </w:tc>
        <w:tc>
          <w:tcPr>
            <w:tcW w:w="1303" w:type="pct"/>
            <w:vAlign w:val="center"/>
          </w:tcPr>
          <w:p w14:paraId="06161FA8">
            <w:pPr>
              <w:ind w:firstLine="0" w:firstLineChars="0"/>
              <w:jc w:val="cente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玉林市食品药品检验检测中心</w:t>
            </w:r>
          </w:p>
        </w:tc>
        <w:tc>
          <w:tcPr>
            <w:tcW w:w="1627" w:type="pct"/>
            <w:tcBorders>
              <w:top w:val="single" w:color="auto" w:sz="8" w:space="0"/>
              <w:bottom w:val="single" w:color="auto" w:sz="8" w:space="0"/>
            </w:tcBorders>
            <w:vAlign w:val="center"/>
          </w:tcPr>
          <w:p w14:paraId="4BA38B5C">
            <w:pPr>
              <w:ind w:firstLine="0" w:firstLineChars="0"/>
              <w:jc w:val="center"/>
              <w:rPr>
                <w:rFonts w:asciiTheme="minorEastAsia" w:hAnsiTheme="minorEastAsia" w:eastAsiaTheme="minorEastAsia"/>
                <w:sz w:val="24"/>
              </w:rPr>
            </w:pPr>
            <w:r>
              <w:rPr>
                <w:rFonts w:hint="eastAsia" w:asciiTheme="minorEastAsia" w:hAnsiTheme="minorEastAsia" w:eastAsiaTheme="minorEastAsia"/>
                <w:sz w:val="24"/>
              </w:rPr>
              <w:t>协助标准文本及编制说明的编写</w:t>
            </w:r>
          </w:p>
        </w:tc>
      </w:tr>
      <w:tr w14:paraId="4856555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65" w:type="pct"/>
            <w:vAlign w:val="center"/>
          </w:tcPr>
          <w:p w14:paraId="6A90E1F4">
            <w:pPr>
              <w:ind w:firstLine="0" w:firstLineChars="0"/>
              <w:jc w:val="cente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黄  毅</w:t>
            </w:r>
          </w:p>
        </w:tc>
        <w:tc>
          <w:tcPr>
            <w:tcW w:w="788" w:type="pct"/>
            <w:vAlign w:val="center"/>
          </w:tcPr>
          <w:p w14:paraId="0FD85ACE">
            <w:pPr>
              <w:ind w:firstLine="0" w:firstLineChars="0"/>
              <w:jc w:val="cente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助理工程师</w:t>
            </w:r>
          </w:p>
        </w:tc>
        <w:tc>
          <w:tcPr>
            <w:tcW w:w="717" w:type="pct"/>
            <w:tcBorders>
              <w:top w:val="single" w:color="auto" w:sz="8" w:space="0"/>
              <w:bottom w:val="single" w:color="auto" w:sz="8" w:space="0"/>
            </w:tcBorders>
            <w:vAlign w:val="center"/>
          </w:tcPr>
          <w:p w14:paraId="4BE353E1">
            <w:pPr>
              <w:ind w:firstLine="0" w:firstLineChars="0"/>
              <w:jc w:val="center"/>
              <w:rPr>
                <w:rFonts w:asciiTheme="minorEastAsia" w:hAnsiTheme="minorEastAsia" w:eastAsiaTheme="minorEastAsia"/>
                <w:sz w:val="24"/>
              </w:rPr>
            </w:pPr>
            <w:r>
              <w:rPr>
                <w:rFonts w:hint="eastAsia" w:asciiTheme="minorEastAsia" w:hAnsiTheme="minorEastAsia" w:eastAsiaTheme="minorEastAsia"/>
                <w:sz w:val="24"/>
              </w:rPr>
              <w:t>食品药品检验检测</w:t>
            </w:r>
          </w:p>
        </w:tc>
        <w:tc>
          <w:tcPr>
            <w:tcW w:w="1303" w:type="pct"/>
            <w:vAlign w:val="center"/>
          </w:tcPr>
          <w:p w14:paraId="590ABD3F">
            <w:pPr>
              <w:ind w:firstLine="0" w:firstLineChars="0"/>
              <w:jc w:val="cente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玉林市食品药品检验检测中心</w:t>
            </w:r>
          </w:p>
        </w:tc>
        <w:tc>
          <w:tcPr>
            <w:tcW w:w="1627" w:type="pct"/>
            <w:tcBorders>
              <w:top w:val="single" w:color="auto" w:sz="8" w:space="0"/>
              <w:bottom w:val="single" w:color="auto" w:sz="8" w:space="0"/>
            </w:tcBorders>
            <w:vAlign w:val="center"/>
          </w:tcPr>
          <w:p w14:paraId="4977C27C">
            <w:pPr>
              <w:ind w:firstLine="0" w:firstLineChars="0"/>
              <w:jc w:val="center"/>
              <w:rPr>
                <w:rFonts w:asciiTheme="minorEastAsia" w:hAnsiTheme="minorEastAsia" w:eastAsiaTheme="minorEastAsia"/>
                <w:sz w:val="24"/>
              </w:rPr>
            </w:pPr>
            <w:r>
              <w:rPr>
                <w:rFonts w:hint="eastAsia" w:asciiTheme="minorEastAsia" w:hAnsiTheme="minorEastAsia" w:eastAsiaTheme="minorEastAsia"/>
                <w:sz w:val="24"/>
              </w:rPr>
              <w:t>协助标准文本及编制说明的编写</w:t>
            </w:r>
          </w:p>
        </w:tc>
      </w:tr>
      <w:tr w14:paraId="1F6767D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65" w:type="pct"/>
            <w:vAlign w:val="center"/>
          </w:tcPr>
          <w:p w14:paraId="77B7D45C">
            <w:pPr>
              <w:ind w:firstLine="0" w:firstLineChars="0"/>
              <w:jc w:val="cente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周永洲</w:t>
            </w:r>
          </w:p>
        </w:tc>
        <w:tc>
          <w:tcPr>
            <w:tcW w:w="788" w:type="pct"/>
            <w:vAlign w:val="center"/>
          </w:tcPr>
          <w:p w14:paraId="6EC833AE">
            <w:pPr>
              <w:ind w:firstLine="0" w:firstLineChars="0"/>
              <w:jc w:val="cente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助理工程师</w:t>
            </w:r>
          </w:p>
        </w:tc>
        <w:tc>
          <w:tcPr>
            <w:tcW w:w="717" w:type="pct"/>
            <w:tcBorders>
              <w:top w:val="single" w:color="auto" w:sz="8" w:space="0"/>
              <w:bottom w:val="single" w:color="auto" w:sz="8" w:space="0"/>
            </w:tcBorders>
            <w:vAlign w:val="center"/>
          </w:tcPr>
          <w:p w14:paraId="441D8012">
            <w:pPr>
              <w:ind w:firstLine="0" w:firstLineChars="0"/>
              <w:jc w:val="center"/>
              <w:rPr>
                <w:rFonts w:asciiTheme="minorEastAsia" w:hAnsiTheme="minorEastAsia" w:eastAsiaTheme="minorEastAsia"/>
                <w:sz w:val="24"/>
              </w:rPr>
            </w:pPr>
            <w:r>
              <w:rPr>
                <w:rFonts w:hint="eastAsia" w:asciiTheme="minorEastAsia" w:hAnsiTheme="minorEastAsia" w:eastAsiaTheme="minorEastAsia"/>
                <w:sz w:val="24"/>
              </w:rPr>
              <w:t>食品药品检验检测</w:t>
            </w:r>
          </w:p>
        </w:tc>
        <w:tc>
          <w:tcPr>
            <w:tcW w:w="1303" w:type="pct"/>
            <w:vAlign w:val="center"/>
          </w:tcPr>
          <w:p w14:paraId="6CE7B38F">
            <w:pPr>
              <w:ind w:firstLine="0" w:firstLineChars="0"/>
              <w:jc w:val="cente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玉林市食品药品检验检测中心</w:t>
            </w:r>
          </w:p>
        </w:tc>
        <w:tc>
          <w:tcPr>
            <w:tcW w:w="1627" w:type="pct"/>
            <w:tcBorders>
              <w:top w:val="single" w:color="auto" w:sz="8" w:space="0"/>
              <w:bottom w:val="single" w:color="auto" w:sz="8" w:space="0"/>
            </w:tcBorders>
            <w:vAlign w:val="center"/>
          </w:tcPr>
          <w:p w14:paraId="7F8EED16">
            <w:pPr>
              <w:ind w:firstLine="0" w:firstLineChars="0"/>
              <w:jc w:val="center"/>
              <w:rPr>
                <w:rFonts w:asciiTheme="minorEastAsia" w:hAnsiTheme="minorEastAsia" w:eastAsiaTheme="minorEastAsia"/>
                <w:sz w:val="24"/>
              </w:rPr>
            </w:pPr>
            <w:r>
              <w:rPr>
                <w:rFonts w:hint="eastAsia" w:asciiTheme="minorEastAsia" w:hAnsiTheme="minorEastAsia" w:eastAsiaTheme="minorEastAsia"/>
                <w:sz w:val="24"/>
              </w:rPr>
              <w:t>协助标准文本及编制说明的编写</w:t>
            </w:r>
          </w:p>
        </w:tc>
      </w:tr>
      <w:tr w14:paraId="2E1A78C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65" w:type="pct"/>
            <w:vAlign w:val="center"/>
          </w:tcPr>
          <w:p w14:paraId="22DC2A83">
            <w:pPr>
              <w:ind w:firstLine="0" w:firstLineChars="0"/>
              <w:jc w:val="cente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李  夏</w:t>
            </w:r>
          </w:p>
        </w:tc>
        <w:tc>
          <w:tcPr>
            <w:tcW w:w="788" w:type="pct"/>
            <w:vAlign w:val="center"/>
          </w:tcPr>
          <w:p w14:paraId="4248C693">
            <w:pPr>
              <w:ind w:firstLine="0" w:firstLineChars="0"/>
              <w:jc w:val="cente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工程师</w:t>
            </w:r>
          </w:p>
        </w:tc>
        <w:tc>
          <w:tcPr>
            <w:tcW w:w="717" w:type="pct"/>
            <w:tcBorders>
              <w:top w:val="single" w:color="auto" w:sz="8" w:space="0"/>
              <w:bottom w:val="single" w:color="auto" w:sz="8" w:space="0"/>
            </w:tcBorders>
            <w:vAlign w:val="center"/>
          </w:tcPr>
          <w:p w14:paraId="44C8B31E">
            <w:pPr>
              <w:ind w:firstLine="0" w:firstLineChars="0"/>
              <w:jc w:val="center"/>
              <w:rPr>
                <w:rFonts w:asciiTheme="minorEastAsia" w:hAnsiTheme="minorEastAsia" w:eastAsiaTheme="minorEastAsia"/>
                <w:sz w:val="24"/>
              </w:rPr>
            </w:pPr>
            <w:r>
              <w:rPr>
                <w:rFonts w:hint="eastAsia" w:asciiTheme="minorEastAsia" w:hAnsiTheme="minorEastAsia" w:eastAsiaTheme="minorEastAsia"/>
                <w:sz w:val="24"/>
              </w:rPr>
              <w:t>食品药品检验检测</w:t>
            </w:r>
          </w:p>
        </w:tc>
        <w:tc>
          <w:tcPr>
            <w:tcW w:w="1303" w:type="pct"/>
            <w:vAlign w:val="center"/>
          </w:tcPr>
          <w:p w14:paraId="1AAFE865">
            <w:pPr>
              <w:ind w:firstLine="0" w:firstLineChars="0"/>
              <w:jc w:val="cente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玉林市食品药品检验检测中心</w:t>
            </w:r>
          </w:p>
        </w:tc>
        <w:tc>
          <w:tcPr>
            <w:tcW w:w="1627" w:type="pct"/>
            <w:tcBorders>
              <w:top w:val="single" w:color="auto" w:sz="8" w:space="0"/>
              <w:bottom w:val="single" w:color="auto" w:sz="8" w:space="0"/>
            </w:tcBorders>
            <w:vAlign w:val="center"/>
          </w:tcPr>
          <w:p w14:paraId="3553DC3A">
            <w:pPr>
              <w:ind w:firstLine="0" w:firstLineChars="0"/>
              <w:jc w:val="center"/>
              <w:rPr>
                <w:rFonts w:asciiTheme="minorEastAsia" w:hAnsiTheme="minorEastAsia" w:eastAsiaTheme="minorEastAsia"/>
                <w:sz w:val="24"/>
              </w:rPr>
            </w:pPr>
            <w:r>
              <w:rPr>
                <w:rFonts w:hint="eastAsia" w:asciiTheme="minorEastAsia" w:hAnsiTheme="minorEastAsia" w:eastAsiaTheme="minorEastAsia"/>
                <w:sz w:val="24"/>
              </w:rPr>
              <w:t>标准实施宣贯、培训</w:t>
            </w:r>
          </w:p>
        </w:tc>
      </w:tr>
      <w:tr w14:paraId="3B5D0C5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65" w:type="pct"/>
            <w:vAlign w:val="center"/>
          </w:tcPr>
          <w:p w14:paraId="14DEE0F6">
            <w:pPr>
              <w:ind w:firstLine="0" w:firstLineChars="0"/>
              <w:jc w:val="cente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刘佳明</w:t>
            </w:r>
          </w:p>
        </w:tc>
        <w:tc>
          <w:tcPr>
            <w:tcW w:w="788" w:type="pct"/>
            <w:vAlign w:val="center"/>
          </w:tcPr>
          <w:p w14:paraId="1047583B">
            <w:pPr>
              <w:ind w:firstLine="0" w:firstLineChars="0"/>
              <w:jc w:val="cente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工程师</w:t>
            </w:r>
          </w:p>
        </w:tc>
        <w:tc>
          <w:tcPr>
            <w:tcW w:w="717" w:type="pct"/>
            <w:tcBorders>
              <w:top w:val="single" w:color="auto" w:sz="8" w:space="0"/>
              <w:bottom w:val="single" w:color="auto" w:sz="8" w:space="0"/>
            </w:tcBorders>
            <w:vAlign w:val="center"/>
          </w:tcPr>
          <w:p w14:paraId="123EBC37">
            <w:pPr>
              <w:ind w:firstLine="0" w:firstLineChars="0"/>
              <w:jc w:val="center"/>
              <w:rPr>
                <w:rFonts w:asciiTheme="minorEastAsia" w:hAnsiTheme="minorEastAsia" w:eastAsiaTheme="minorEastAsia"/>
                <w:sz w:val="24"/>
              </w:rPr>
            </w:pPr>
            <w:r>
              <w:rPr>
                <w:rFonts w:hint="eastAsia" w:asciiTheme="minorEastAsia" w:hAnsiTheme="minorEastAsia" w:eastAsiaTheme="minorEastAsia"/>
                <w:sz w:val="24"/>
              </w:rPr>
              <w:t>食品药品检验检测</w:t>
            </w:r>
          </w:p>
        </w:tc>
        <w:tc>
          <w:tcPr>
            <w:tcW w:w="1303" w:type="pct"/>
            <w:vAlign w:val="center"/>
          </w:tcPr>
          <w:p w14:paraId="1D4CFD06">
            <w:pPr>
              <w:ind w:firstLine="0" w:firstLineChars="0"/>
              <w:jc w:val="cente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玉林市食品药品检验检测中心</w:t>
            </w:r>
          </w:p>
        </w:tc>
        <w:tc>
          <w:tcPr>
            <w:tcW w:w="1627" w:type="pct"/>
            <w:tcBorders>
              <w:top w:val="single" w:color="auto" w:sz="8" w:space="0"/>
              <w:bottom w:val="single" w:color="auto" w:sz="8" w:space="0"/>
            </w:tcBorders>
            <w:vAlign w:val="center"/>
          </w:tcPr>
          <w:p w14:paraId="3639390A">
            <w:pPr>
              <w:ind w:firstLine="0" w:firstLineChars="0"/>
              <w:jc w:val="center"/>
              <w:rPr>
                <w:rFonts w:asciiTheme="minorEastAsia" w:hAnsiTheme="minorEastAsia" w:eastAsiaTheme="minorEastAsia"/>
                <w:sz w:val="24"/>
              </w:rPr>
            </w:pPr>
            <w:r>
              <w:rPr>
                <w:rFonts w:hint="eastAsia" w:asciiTheme="minorEastAsia" w:hAnsiTheme="minorEastAsia" w:eastAsiaTheme="minorEastAsia"/>
                <w:sz w:val="24"/>
              </w:rPr>
              <w:t>标准实施宣贯、培训</w:t>
            </w:r>
          </w:p>
        </w:tc>
      </w:tr>
      <w:tr w14:paraId="60547C9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65" w:type="pct"/>
            <w:vAlign w:val="center"/>
          </w:tcPr>
          <w:p w14:paraId="53152214">
            <w:pPr>
              <w:ind w:firstLine="0" w:firstLineChars="0"/>
              <w:jc w:val="cente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卢如剑</w:t>
            </w:r>
          </w:p>
        </w:tc>
        <w:tc>
          <w:tcPr>
            <w:tcW w:w="788" w:type="pct"/>
            <w:vAlign w:val="center"/>
          </w:tcPr>
          <w:p w14:paraId="288E0A0C">
            <w:pPr>
              <w:ind w:firstLine="0" w:firstLineChars="0"/>
              <w:jc w:val="cente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工程师</w:t>
            </w:r>
          </w:p>
        </w:tc>
        <w:tc>
          <w:tcPr>
            <w:tcW w:w="717" w:type="pct"/>
            <w:tcBorders>
              <w:top w:val="single" w:color="auto" w:sz="8" w:space="0"/>
              <w:bottom w:val="single" w:color="auto" w:sz="8" w:space="0"/>
            </w:tcBorders>
            <w:vAlign w:val="center"/>
          </w:tcPr>
          <w:p w14:paraId="16171EED">
            <w:pPr>
              <w:ind w:firstLine="0" w:firstLineChars="0"/>
              <w:jc w:val="center"/>
              <w:rPr>
                <w:rFonts w:asciiTheme="minorEastAsia" w:hAnsiTheme="minorEastAsia" w:eastAsiaTheme="minorEastAsia"/>
                <w:sz w:val="24"/>
              </w:rPr>
            </w:pPr>
            <w:r>
              <w:rPr>
                <w:rFonts w:hint="eastAsia" w:asciiTheme="minorEastAsia" w:hAnsiTheme="minorEastAsia" w:eastAsiaTheme="minorEastAsia"/>
                <w:sz w:val="24"/>
              </w:rPr>
              <w:t>食品药品检验检测</w:t>
            </w:r>
          </w:p>
        </w:tc>
        <w:tc>
          <w:tcPr>
            <w:tcW w:w="1303" w:type="pct"/>
            <w:vAlign w:val="center"/>
          </w:tcPr>
          <w:p w14:paraId="44E080CD">
            <w:pPr>
              <w:ind w:firstLine="0" w:firstLineChars="0"/>
              <w:jc w:val="cente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玉林市食品药品检验检测中心</w:t>
            </w:r>
          </w:p>
        </w:tc>
        <w:tc>
          <w:tcPr>
            <w:tcW w:w="1627" w:type="pct"/>
            <w:tcBorders>
              <w:top w:val="single" w:color="auto" w:sz="8" w:space="0"/>
              <w:bottom w:val="single" w:color="auto" w:sz="8" w:space="0"/>
            </w:tcBorders>
            <w:vAlign w:val="center"/>
          </w:tcPr>
          <w:p w14:paraId="28F6F251">
            <w:pPr>
              <w:ind w:firstLine="0" w:firstLineChars="0"/>
              <w:jc w:val="center"/>
              <w:rPr>
                <w:rFonts w:asciiTheme="minorEastAsia" w:hAnsiTheme="minorEastAsia" w:eastAsiaTheme="minorEastAsia"/>
                <w:sz w:val="24"/>
              </w:rPr>
            </w:pPr>
            <w:r>
              <w:rPr>
                <w:rFonts w:hint="eastAsia" w:asciiTheme="minorEastAsia" w:hAnsiTheme="minorEastAsia" w:eastAsiaTheme="minorEastAsia"/>
                <w:sz w:val="24"/>
              </w:rPr>
              <w:t>标准实施宣贯、培训</w:t>
            </w:r>
          </w:p>
        </w:tc>
      </w:tr>
      <w:tr w14:paraId="180DD1B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65" w:type="pct"/>
            <w:vAlign w:val="center"/>
          </w:tcPr>
          <w:p w14:paraId="50A6933E">
            <w:pPr>
              <w:ind w:firstLine="0" w:firstLineChars="0"/>
              <w:jc w:val="cente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雷</w:t>
            </w:r>
            <w:r>
              <w:rPr>
                <w:rFonts w:asciiTheme="minorEastAsia" w:hAnsiTheme="minorEastAsia" w:eastAsiaTheme="minorEastAsia"/>
                <w:color w:val="000000" w:themeColor="text1"/>
                <w:sz w:val="24"/>
                <w14:textFill>
                  <w14:solidFill>
                    <w14:schemeClr w14:val="tx1"/>
                  </w14:solidFill>
                </w14:textFill>
              </w:rPr>
              <w:t>玄宸</w:t>
            </w:r>
          </w:p>
        </w:tc>
        <w:tc>
          <w:tcPr>
            <w:tcW w:w="788" w:type="pct"/>
            <w:vAlign w:val="center"/>
          </w:tcPr>
          <w:p w14:paraId="6022B04F">
            <w:pPr>
              <w:ind w:firstLine="0" w:firstLineChars="0"/>
              <w:jc w:val="cente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助理工程师</w:t>
            </w:r>
          </w:p>
        </w:tc>
        <w:tc>
          <w:tcPr>
            <w:tcW w:w="717" w:type="pct"/>
            <w:tcBorders>
              <w:top w:val="single" w:color="auto" w:sz="8" w:space="0"/>
              <w:bottom w:val="single" w:color="auto" w:sz="8" w:space="0"/>
            </w:tcBorders>
            <w:vAlign w:val="center"/>
          </w:tcPr>
          <w:p w14:paraId="6682A5FE">
            <w:pPr>
              <w:ind w:firstLine="0" w:firstLineChars="0"/>
              <w:jc w:val="center"/>
              <w:rPr>
                <w:rFonts w:asciiTheme="minorEastAsia" w:hAnsiTheme="minorEastAsia" w:eastAsiaTheme="minorEastAsia"/>
                <w:sz w:val="24"/>
              </w:rPr>
            </w:pPr>
            <w:r>
              <w:rPr>
                <w:rFonts w:hint="eastAsia" w:asciiTheme="minorEastAsia" w:hAnsiTheme="minorEastAsia" w:eastAsiaTheme="minorEastAsia"/>
                <w:sz w:val="24"/>
              </w:rPr>
              <w:t>食品检验</w:t>
            </w:r>
          </w:p>
        </w:tc>
        <w:tc>
          <w:tcPr>
            <w:tcW w:w="1303" w:type="pct"/>
            <w:vAlign w:val="center"/>
          </w:tcPr>
          <w:p w14:paraId="0B79844A">
            <w:pPr>
              <w:ind w:firstLine="0" w:firstLineChars="0"/>
              <w:jc w:val="cente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玉林市食品药品检验检测中心</w:t>
            </w:r>
          </w:p>
        </w:tc>
        <w:tc>
          <w:tcPr>
            <w:tcW w:w="1627" w:type="pct"/>
            <w:tcBorders>
              <w:top w:val="single" w:color="auto" w:sz="8" w:space="0"/>
              <w:bottom w:val="single" w:color="auto" w:sz="8" w:space="0"/>
            </w:tcBorders>
            <w:vAlign w:val="center"/>
          </w:tcPr>
          <w:p w14:paraId="14AC21A3">
            <w:pPr>
              <w:ind w:firstLine="0" w:firstLineChars="0"/>
              <w:jc w:val="center"/>
              <w:rPr>
                <w:rFonts w:asciiTheme="minorEastAsia" w:hAnsiTheme="minorEastAsia" w:eastAsiaTheme="minorEastAsia"/>
                <w:sz w:val="24"/>
              </w:rPr>
            </w:pPr>
            <w:r>
              <w:rPr>
                <w:rFonts w:hint="eastAsia" w:asciiTheme="minorEastAsia" w:hAnsiTheme="minorEastAsia" w:eastAsiaTheme="minorEastAsia"/>
                <w:sz w:val="24"/>
              </w:rPr>
              <w:t>标准实施宣贯、培训</w:t>
            </w:r>
          </w:p>
        </w:tc>
      </w:tr>
      <w:tr w14:paraId="4D77593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65" w:type="pct"/>
            <w:vAlign w:val="center"/>
          </w:tcPr>
          <w:p w14:paraId="2527344E">
            <w:pPr>
              <w:ind w:firstLine="0" w:firstLineChars="0"/>
              <w:jc w:val="cente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张</w:t>
            </w:r>
            <w:r>
              <w:rPr>
                <w:rFonts w:asciiTheme="minorEastAsia" w:hAnsiTheme="minorEastAsia" w:eastAsiaTheme="minorEastAsia"/>
                <w:color w:val="000000" w:themeColor="text1"/>
                <w:sz w:val="24"/>
                <w14:textFill>
                  <w14:solidFill>
                    <w14:schemeClr w14:val="tx1"/>
                  </w14:solidFill>
                </w14:textFill>
              </w:rPr>
              <w:t>惠苹</w:t>
            </w:r>
          </w:p>
        </w:tc>
        <w:tc>
          <w:tcPr>
            <w:tcW w:w="788" w:type="pct"/>
            <w:vAlign w:val="center"/>
          </w:tcPr>
          <w:p w14:paraId="40D4F19A">
            <w:pPr>
              <w:ind w:firstLine="0" w:firstLineChars="0"/>
              <w:jc w:val="cente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主管药师</w:t>
            </w:r>
          </w:p>
        </w:tc>
        <w:tc>
          <w:tcPr>
            <w:tcW w:w="717" w:type="pct"/>
            <w:tcBorders>
              <w:top w:val="single" w:color="auto" w:sz="8" w:space="0"/>
              <w:bottom w:val="single" w:color="auto" w:sz="8" w:space="0"/>
            </w:tcBorders>
            <w:vAlign w:val="center"/>
          </w:tcPr>
          <w:p w14:paraId="2A314499">
            <w:pPr>
              <w:ind w:firstLine="0" w:firstLineChars="0"/>
              <w:jc w:val="center"/>
              <w:rPr>
                <w:rFonts w:asciiTheme="minorEastAsia" w:hAnsiTheme="minorEastAsia" w:eastAsiaTheme="minorEastAsia"/>
                <w:sz w:val="24"/>
              </w:rPr>
            </w:pPr>
            <w:r>
              <w:rPr>
                <w:rFonts w:hint="eastAsia" w:asciiTheme="minorEastAsia" w:hAnsiTheme="minorEastAsia" w:eastAsiaTheme="minorEastAsia"/>
                <w:sz w:val="24"/>
              </w:rPr>
              <w:t>抽样</w:t>
            </w:r>
          </w:p>
        </w:tc>
        <w:tc>
          <w:tcPr>
            <w:tcW w:w="1303" w:type="pct"/>
            <w:vAlign w:val="center"/>
          </w:tcPr>
          <w:p w14:paraId="46178869">
            <w:pPr>
              <w:ind w:firstLine="0" w:firstLineChars="0"/>
              <w:jc w:val="cente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玉林市食品药品检验检测中心</w:t>
            </w:r>
          </w:p>
        </w:tc>
        <w:tc>
          <w:tcPr>
            <w:tcW w:w="1627" w:type="pct"/>
            <w:tcBorders>
              <w:top w:val="single" w:color="auto" w:sz="8" w:space="0"/>
              <w:bottom w:val="single" w:color="auto" w:sz="8" w:space="0"/>
            </w:tcBorders>
            <w:vAlign w:val="center"/>
          </w:tcPr>
          <w:p w14:paraId="2952AE4E">
            <w:pPr>
              <w:ind w:firstLine="0" w:firstLineChars="0"/>
              <w:jc w:val="center"/>
              <w:rPr>
                <w:rFonts w:asciiTheme="minorEastAsia" w:hAnsiTheme="minorEastAsia" w:eastAsiaTheme="minorEastAsia"/>
                <w:sz w:val="24"/>
              </w:rPr>
            </w:pPr>
            <w:r>
              <w:rPr>
                <w:rFonts w:hint="eastAsia" w:asciiTheme="minorEastAsia" w:hAnsiTheme="minorEastAsia" w:eastAsiaTheme="minorEastAsia"/>
                <w:sz w:val="24"/>
              </w:rPr>
              <w:t>标准实施宣贯、培训</w:t>
            </w:r>
          </w:p>
        </w:tc>
      </w:tr>
      <w:tr w14:paraId="650027F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65" w:type="pct"/>
            <w:vAlign w:val="center"/>
          </w:tcPr>
          <w:p w14:paraId="7A6296C5">
            <w:pPr>
              <w:ind w:firstLine="0" w:firstLineChars="0"/>
              <w:jc w:val="cente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陈乐琰</w:t>
            </w:r>
          </w:p>
        </w:tc>
        <w:tc>
          <w:tcPr>
            <w:tcW w:w="788" w:type="pct"/>
            <w:vAlign w:val="center"/>
          </w:tcPr>
          <w:p w14:paraId="0A9397DA">
            <w:pPr>
              <w:ind w:firstLine="0" w:firstLineChars="0"/>
              <w:jc w:val="cente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w:t>
            </w:r>
          </w:p>
        </w:tc>
        <w:tc>
          <w:tcPr>
            <w:tcW w:w="717" w:type="pct"/>
            <w:tcBorders>
              <w:top w:val="single" w:color="auto" w:sz="8" w:space="0"/>
              <w:bottom w:val="single" w:color="auto" w:sz="8" w:space="0"/>
            </w:tcBorders>
            <w:vAlign w:val="center"/>
          </w:tcPr>
          <w:p w14:paraId="2ED8F5F8">
            <w:pPr>
              <w:ind w:firstLine="0" w:firstLineChars="0"/>
              <w:jc w:val="center"/>
              <w:rPr>
                <w:rFonts w:asciiTheme="minorEastAsia" w:hAnsiTheme="minorEastAsia" w:eastAsiaTheme="minorEastAsia"/>
                <w:sz w:val="24"/>
              </w:rPr>
            </w:pPr>
            <w:r>
              <w:rPr>
                <w:rFonts w:hint="eastAsia" w:asciiTheme="minorEastAsia" w:hAnsiTheme="minorEastAsia" w:eastAsiaTheme="minorEastAsia"/>
                <w:sz w:val="24"/>
              </w:rPr>
              <w:t>食品检验</w:t>
            </w:r>
          </w:p>
        </w:tc>
        <w:tc>
          <w:tcPr>
            <w:tcW w:w="1303" w:type="pct"/>
            <w:vAlign w:val="center"/>
          </w:tcPr>
          <w:p w14:paraId="6FA6391E">
            <w:pPr>
              <w:ind w:firstLine="0" w:firstLineChars="0"/>
              <w:jc w:val="cente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玉林市食品药品检验检测中心</w:t>
            </w:r>
          </w:p>
        </w:tc>
        <w:tc>
          <w:tcPr>
            <w:tcW w:w="1627" w:type="pct"/>
            <w:tcBorders>
              <w:top w:val="single" w:color="auto" w:sz="8" w:space="0"/>
              <w:bottom w:val="single" w:color="auto" w:sz="8" w:space="0"/>
            </w:tcBorders>
            <w:vAlign w:val="center"/>
          </w:tcPr>
          <w:p w14:paraId="06787469">
            <w:pPr>
              <w:ind w:firstLine="0" w:firstLineChars="0"/>
              <w:jc w:val="center"/>
              <w:rPr>
                <w:rFonts w:asciiTheme="minorEastAsia" w:hAnsiTheme="minorEastAsia" w:eastAsiaTheme="minorEastAsia"/>
                <w:sz w:val="24"/>
              </w:rPr>
            </w:pPr>
            <w:r>
              <w:rPr>
                <w:rFonts w:hint="eastAsia" w:asciiTheme="minorEastAsia" w:hAnsiTheme="minorEastAsia" w:eastAsiaTheme="minorEastAsia"/>
                <w:sz w:val="24"/>
              </w:rPr>
              <w:t>标准实施宣贯、培训</w:t>
            </w:r>
          </w:p>
        </w:tc>
      </w:tr>
      <w:tr w14:paraId="3BAB497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65" w:type="pct"/>
            <w:vAlign w:val="center"/>
          </w:tcPr>
          <w:p w14:paraId="7BD483E7">
            <w:pPr>
              <w:ind w:firstLine="0" w:firstLineChars="0"/>
              <w:jc w:val="cente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陈</w:t>
            </w:r>
            <w:r>
              <w:rPr>
                <w:rFonts w:asciiTheme="minorEastAsia" w:hAnsiTheme="minorEastAsia" w:eastAsiaTheme="minorEastAsia"/>
                <w:color w:val="000000" w:themeColor="text1"/>
                <w:sz w:val="24"/>
                <w14:textFill>
                  <w14:solidFill>
                    <w14:schemeClr w14:val="tx1"/>
                  </w14:solidFill>
                </w14:textFill>
              </w:rPr>
              <w:t>凯帆</w:t>
            </w:r>
          </w:p>
        </w:tc>
        <w:tc>
          <w:tcPr>
            <w:tcW w:w="788" w:type="pct"/>
            <w:vAlign w:val="center"/>
          </w:tcPr>
          <w:p w14:paraId="2DE99278">
            <w:pPr>
              <w:ind w:firstLine="0" w:firstLineChars="0"/>
              <w:jc w:val="cente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w:t>
            </w:r>
          </w:p>
        </w:tc>
        <w:tc>
          <w:tcPr>
            <w:tcW w:w="717" w:type="pct"/>
            <w:tcBorders>
              <w:top w:val="single" w:color="auto" w:sz="8" w:space="0"/>
              <w:bottom w:val="single" w:color="auto" w:sz="8" w:space="0"/>
            </w:tcBorders>
            <w:vAlign w:val="center"/>
          </w:tcPr>
          <w:p w14:paraId="6CA7562D">
            <w:pPr>
              <w:ind w:firstLine="0" w:firstLineChars="0"/>
              <w:jc w:val="center"/>
              <w:rPr>
                <w:rFonts w:asciiTheme="minorEastAsia" w:hAnsiTheme="minorEastAsia" w:eastAsiaTheme="minorEastAsia"/>
                <w:sz w:val="24"/>
              </w:rPr>
            </w:pPr>
            <w:r>
              <w:rPr>
                <w:rFonts w:hint="eastAsia" w:asciiTheme="minorEastAsia" w:hAnsiTheme="minorEastAsia" w:eastAsiaTheme="minorEastAsia"/>
                <w:sz w:val="24"/>
              </w:rPr>
              <w:t>食品检验</w:t>
            </w:r>
          </w:p>
        </w:tc>
        <w:tc>
          <w:tcPr>
            <w:tcW w:w="1303" w:type="pct"/>
            <w:vAlign w:val="center"/>
          </w:tcPr>
          <w:p w14:paraId="3E74B9A6">
            <w:pPr>
              <w:ind w:firstLine="0" w:firstLineChars="0"/>
              <w:jc w:val="cente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玉林市食品药品检验检测中心</w:t>
            </w:r>
          </w:p>
        </w:tc>
        <w:tc>
          <w:tcPr>
            <w:tcW w:w="1627" w:type="pct"/>
            <w:tcBorders>
              <w:top w:val="single" w:color="auto" w:sz="8" w:space="0"/>
              <w:bottom w:val="single" w:color="auto" w:sz="8" w:space="0"/>
            </w:tcBorders>
            <w:vAlign w:val="center"/>
          </w:tcPr>
          <w:p w14:paraId="62CE6D7D">
            <w:pPr>
              <w:ind w:firstLine="0" w:firstLineChars="0"/>
              <w:jc w:val="center"/>
              <w:rPr>
                <w:rFonts w:asciiTheme="minorEastAsia" w:hAnsiTheme="minorEastAsia" w:eastAsiaTheme="minorEastAsia"/>
                <w:sz w:val="24"/>
              </w:rPr>
            </w:pPr>
            <w:r>
              <w:rPr>
                <w:rFonts w:hint="eastAsia" w:asciiTheme="minorEastAsia" w:hAnsiTheme="minorEastAsia" w:eastAsiaTheme="minorEastAsia"/>
                <w:sz w:val="24"/>
              </w:rPr>
              <w:t>标准起草、发布</w:t>
            </w:r>
          </w:p>
        </w:tc>
      </w:tr>
      <w:tr w14:paraId="7BF1BCA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65" w:type="pct"/>
            <w:vAlign w:val="center"/>
          </w:tcPr>
          <w:p w14:paraId="0FA4396B">
            <w:pPr>
              <w:ind w:firstLine="0" w:firstLineChars="0"/>
              <w:jc w:val="cente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许宝霞</w:t>
            </w:r>
          </w:p>
        </w:tc>
        <w:tc>
          <w:tcPr>
            <w:tcW w:w="788" w:type="pct"/>
            <w:vAlign w:val="center"/>
          </w:tcPr>
          <w:p w14:paraId="719F42B0">
            <w:pPr>
              <w:ind w:firstLine="0" w:firstLineChars="0"/>
              <w:jc w:val="cente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助理工程师</w:t>
            </w:r>
          </w:p>
        </w:tc>
        <w:tc>
          <w:tcPr>
            <w:tcW w:w="717" w:type="pct"/>
            <w:tcBorders>
              <w:top w:val="single" w:color="auto" w:sz="8" w:space="0"/>
              <w:bottom w:val="single" w:color="auto" w:sz="8" w:space="0"/>
            </w:tcBorders>
            <w:vAlign w:val="center"/>
          </w:tcPr>
          <w:p w14:paraId="17613FED">
            <w:pPr>
              <w:ind w:firstLine="0" w:firstLineChars="0"/>
              <w:jc w:val="center"/>
              <w:rPr>
                <w:rFonts w:asciiTheme="minorEastAsia" w:hAnsiTheme="minorEastAsia" w:eastAsiaTheme="minorEastAsia"/>
                <w:sz w:val="24"/>
              </w:rPr>
            </w:pPr>
            <w:r>
              <w:rPr>
                <w:rFonts w:hint="eastAsia" w:asciiTheme="minorEastAsia" w:hAnsiTheme="minorEastAsia" w:eastAsiaTheme="minorEastAsia"/>
                <w:sz w:val="24"/>
              </w:rPr>
              <w:t>食品检验</w:t>
            </w:r>
          </w:p>
        </w:tc>
        <w:tc>
          <w:tcPr>
            <w:tcW w:w="1303" w:type="pct"/>
            <w:vAlign w:val="center"/>
          </w:tcPr>
          <w:p w14:paraId="7BF01B61">
            <w:pPr>
              <w:ind w:firstLine="0" w:firstLineChars="0"/>
              <w:jc w:val="cente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玉林市食品药品检验检测中心</w:t>
            </w:r>
          </w:p>
        </w:tc>
        <w:tc>
          <w:tcPr>
            <w:tcW w:w="1627" w:type="pct"/>
            <w:tcBorders>
              <w:top w:val="single" w:color="auto" w:sz="8" w:space="0"/>
              <w:bottom w:val="single" w:color="auto" w:sz="8" w:space="0"/>
            </w:tcBorders>
            <w:vAlign w:val="center"/>
          </w:tcPr>
          <w:p w14:paraId="0D23DD79">
            <w:pPr>
              <w:ind w:firstLine="0" w:firstLineChars="0"/>
              <w:jc w:val="center"/>
              <w:rPr>
                <w:rFonts w:asciiTheme="minorEastAsia" w:hAnsiTheme="minorEastAsia" w:eastAsiaTheme="minorEastAsia"/>
                <w:sz w:val="24"/>
              </w:rPr>
            </w:pPr>
            <w:r>
              <w:rPr>
                <w:rFonts w:hint="eastAsia" w:asciiTheme="minorEastAsia" w:hAnsiTheme="minorEastAsia" w:eastAsiaTheme="minorEastAsia"/>
                <w:sz w:val="24"/>
              </w:rPr>
              <w:t>协助标准文本及编制说明的编写</w:t>
            </w:r>
          </w:p>
        </w:tc>
      </w:tr>
      <w:tr w14:paraId="7B5AD96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65" w:type="pct"/>
            <w:vAlign w:val="center"/>
          </w:tcPr>
          <w:p w14:paraId="34C78B45">
            <w:pPr>
              <w:ind w:firstLine="0" w:firstLineChars="0"/>
              <w:jc w:val="cente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廖振儒</w:t>
            </w:r>
          </w:p>
        </w:tc>
        <w:tc>
          <w:tcPr>
            <w:tcW w:w="788" w:type="pct"/>
            <w:vAlign w:val="center"/>
          </w:tcPr>
          <w:p w14:paraId="3A2EE137">
            <w:pPr>
              <w:ind w:firstLine="0" w:firstLineChars="0"/>
              <w:jc w:val="cente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w:t>
            </w:r>
          </w:p>
        </w:tc>
        <w:tc>
          <w:tcPr>
            <w:tcW w:w="717" w:type="pct"/>
            <w:tcBorders>
              <w:top w:val="single" w:color="auto" w:sz="8" w:space="0"/>
              <w:bottom w:val="single" w:color="auto" w:sz="8" w:space="0"/>
            </w:tcBorders>
            <w:vAlign w:val="center"/>
          </w:tcPr>
          <w:p w14:paraId="2F020798">
            <w:pPr>
              <w:ind w:firstLine="0" w:firstLineChars="0"/>
              <w:jc w:val="center"/>
              <w:rPr>
                <w:rFonts w:asciiTheme="minorEastAsia" w:hAnsiTheme="minorEastAsia" w:eastAsiaTheme="minorEastAsia"/>
                <w:sz w:val="24"/>
              </w:rPr>
            </w:pPr>
            <w:r>
              <w:rPr>
                <w:rFonts w:hint="eastAsia" w:asciiTheme="minorEastAsia" w:hAnsiTheme="minorEastAsia" w:eastAsiaTheme="minorEastAsia"/>
                <w:sz w:val="24"/>
              </w:rPr>
              <w:t>食品生产</w:t>
            </w:r>
          </w:p>
        </w:tc>
        <w:tc>
          <w:tcPr>
            <w:tcW w:w="1303" w:type="pct"/>
            <w:vAlign w:val="center"/>
          </w:tcPr>
          <w:p w14:paraId="67A0C8E6">
            <w:pPr>
              <w:ind w:firstLine="0" w:firstLineChars="0"/>
              <w:jc w:val="center"/>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广西舟聪食品有限公司</w:t>
            </w:r>
          </w:p>
        </w:tc>
        <w:tc>
          <w:tcPr>
            <w:tcW w:w="1627" w:type="pct"/>
            <w:tcBorders>
              <w:top w:val="single" w:color="auto" w:sz="8" w:space="0"/>
              <w:bottom w:val="single" w:color="auto" w:sz="8" w:space="0"/>
            </w:tcBorders>
            <w:vAlign w:val="center"/>
          </w:tcPr>
          <w:p w14:paraId="11E4E6BE">
            <w:pPr>
              <w:ind w:firstLine="0" w:firstLineChars="0"/>
              <w:jc w:val="center"/>
              <w:rPr>
                <w:rFonts w:asciiTheme="minorEastAsia" w:hAnsiTheme="minorEastAsia" w:eastAsiaTheme="minorEastAsia"/>
                <w:sz w:val="24"/>
              </w:rPr>
            </w:pPr>
            <w:r>
              <w:rPr>
                <w:rFonts w:hint="eastAsia" w:asciiTheme="minorEastAsia" w:hAnsiTheme="minorEastAsia" w:eastAsiaTheme="minorEastAsia"/>
                <w:sz w:val="24"/>
              </w:rPr>
              <w:t>标准实施宣贯、培训</w:t>
            </w:r>
          </w:p>
        </w:tc>
      </w:tr>
    </w:tbl>
    <w:p w14:paraId="6DFCD23D">
      <w:pPr>
        <w:autoSpaceDE w:val="0"/>
        <w:autoSpaceDN w:val="0"/>
        <w:adjustRightInd w:val="0"/>
        <w:spacing w:line="560" w:lineRule="exact"/>
        <w:ind w:firstLine="640"/>
        <w:jc w:val="left"/>
        <w:rPr>
          <w:rFonts w:ascii="黑体" w:hAnsi="黑体" w:eastAsia="黑体" w:cs="仿宋_GB2312"/>
          <w:szCs w:val="32"/>
        </w:rPr>
      </w:pPr>
      <w:r>
        <w:rPr>
          <w:rFonts w:hint="eastAsia" w:ascii="黑体" w:hAnsi="黑体" w:eastAsia="黑体" w:cs="仿宋_GB2312"/>
          <w:szCs w:val="32"/>
        </w:rPr>
        <w:t>二、制定标准的必要性和意义</w:t>
      </w:r>
    </w:p>
    <w:p w14:paraId="36C7055A">
      <w:pPr>
        <w:autoSpaceDE w:val="0"/>
        <w:autoSpaceDN w:val="0"/>
        <w:adjustRightInd w:val="0"/>
        <w:spacing w:line="560" w:lineRule="exact"/>
        <w:ind w:firstLine="640"/>
        <w:rPr>
          <w:rFonts w:ascii="仿宋_GB2312" w:hAnsi="宋体"/>
          <w:szCs w:val="28"/>
        </w:rPr>
      </w:pPr>
      <w:r>
        <w:rPr>
          <w:rFonts w:hint="eastAsia" w:ascii="仿宋_GB2312" w:hAnsi="宋体"/>
          <w:szCs w:val="28"/>
        </w:rPr>
        <w:t>姜黄作为传统的药食同源物质，在我国及亚洲其他地区拥有悠久的应用历史。其主要活性成分为姜黄素类化合物，包括姜黄素、去甲氧基姜黄素和双去甲氧基姜黄素。现代科学研究表明，这些姜黄素类化合物具有抗炎、抗氧化、抗肿瘤等多种生理活性，使得姜黄及其制品（如姜黄粉、姜黄提取物、含姜黄的保健食品、饮料和调味品等）在食品、保健食品、医药和日化等领域的应用日益广泛，市场规模持续扩大。</w:t>
      </w:r>
    </w:p>
    <w:p w14:paraId="076ADF72">
      <w:pPr>
        <w:autoSpaceDE w:val="0"/>
        <w:autoSpaceDN w:val="0"/>
        <w:adjustRightInd w:val="0"/>
        <w:spacing w:line="560" w:lineRule="exact"/>
        <w:ind w:firstLine="640"/>
        <w:rPr>
          <w:rFonts w:ascii="仿宋_GB2312" w:hAnsi="宋体"/>
          <w:szCs w:val="28"/>
        </w:rPr>
      </w:pPr>
      <w:r>
        <w:rPr>
          <w:rFonts w:hint="eastAsia" w:ascii="仿宋_GB2312" w:hAnsi="宋体"/>
          <w:szCs w:val="28"/>
        </w:rPr>
        <w:t>然而，产业的快速发展也暴露出以下亟待解决的问题，凸显了制定本团体标准的必要性和紧迫性：</w:t>
      </w:r>
    </w:p>
    <w:p w14:paraId="68BF3B1C">
      <w:pPr>
        <w:autoSpaceDE w:val="0"/>
        <w:autoSpaceDN w:val="0"/>
        <w:adjustRightInd w:val="0"/>
        <w:spacing w:line="560" w:lineRule="exact"/>
        <w:ind w:firstLine="640"/>
        <w:rPr>
          <w:rFonts w:ascii="楷体_GB2312" w:hAnsi="宋体" w:eastAsia="楷体_GB2312"/>
          <w:szCs w:val="28"/>
        </w:rPr>
      </w:pPr>
      <w:r>
        <w:rPr>
          <w:rFonts w:hint="eastAsia" w:ascii="楷体_GB2312" w:hAnsi="宋体" w:eastAsia="楷体_GB2312"/>
          <w:szCs w:val="28"/>
        </w:rPr>
        <w:t>1、满足产业高质量发展的迫切需求</w:t>
      </w:r>
    </w:p>
    <w:p w14:paraId="4E07E0C9">
      <w:pPr>
        <w:autoSpaceDE w:val="0"/>
        <w:autoSpaceDN w:val="0"/>
        <w:adjustRightInd w:val="0"/>
        <w:spacing w:line="560" w:lineRule="exact"/>
        <w:ind w:firstLine="640"/>
        <w:rPr>
          <w:rFonts w:ascii="仿宋_GB2312" w:hAnsi="宋体"/>
          <w:szCs w:val="28"/>
        </w:rPr>
      </w:pPr>
      <w:r>
        <w:rPr>
          <w:rFonts w:hint="eastAsia" w:ascii="仿宋_GB2312" w:hAnsi="宋体"/>
          <w:szCs w:val="28"/>
        </w:rPr>
        <w:t>目前，姜黄原料及其制品的质量参差不齐，其核心功效成分——三种姜黄素的含量是评价其内在质量和经济价值的关键指标。市场上缺乏统一、权威的检测方法标准，导致生产企业对原料质量控制、生产过程监控及产品质量评价无标可依；采购方和消费者在选购时也无法对不同产品的功效成分含量进行有效比较和鉴别。这严重制约了市场的公平竞争和产业的健康发展。制定本标准，可为产业链上下游企业提供一个科学、规范、统一的检测依据，保障产品质量的稳定性和一致性，是推动姜黄产业迈向标准化、高端化和品牌化的关键一步。</w:t>
      </w:r>
    </w:p>
    <w:p w14:paraId="7D01EE5E">
      <w:pPr>
        <w:autoSpaceDE w:val="0"/>
        <w:autoSpaceDN w:val="0"/>
        <w:adjustRightInd w:val="0"/>
        <w:spacing w:line="560" w:lineRule="exact"/>
        <w:ind w:firstLine="640"/>
        <w:rPr>
          <w:rFonts w:ascii="楷体_GB2312" w:hAnsi="宋体" w:eastAsia="楷体_GB2312"/>
          <w:szCs w:val="28"/>
        </w:rPr>
      </w:pPr>
      <w:r>
        <w:rPr>
          <w:rFonts w:hint="eastAsia" w:ascii="楷体_GB2312" w:hAnsi="宋体" w:eastAsia="楷体_GB2312"/>
          <w:szCs w:val="28"/>
        </w:rPr>
        <w:t>2、填补现有标准体系空白，提供先进技术支撑</w:t>
      </w:r>
    </w:p>
    <w:p w14:paraId="5BDB11DF">
      <w:pPr>
        <w:autoSpaceDE w:val="0"/>
        <w:autoSpaceDN w:val="0"/>
        <w:adjustRightInd w:val="0"/>
        <w:spacing w:line="560" w:lineRule="exact"/>
        <w:ind w:firstLine="640"/>
        <w:rPr>
          <w:rFonts w:ascii="仿宋_GB2312" w:hAnsi="宋体"/>
          <w:szCs w:val="28"/>
        </w:rPr>
      </w:pPr>
      <w:r>
        <w:rPr>
          <w:rFonts w:hint="eastAsia" w:ascii="仿宋_GB2312" w:hAnsi="宋体"/>
          <w:szCs w:val="28"/>
        </w:rPr>
        <w:t>目前，国家虽已颁布了关于姜黄药材的相关标准，但其检测方法可能未完全覆盖或适用于形态多样的姜黄制品（如复合调味料、液体饮料等）。现有的检测方法散见于部分科研文献、企业标准或产品技术要求中，存在前处理方法不统一、色谱条件各异、结果可比性差等问题。高效液相色谱法（HPLC）因其灵敏度高、分离效果好、结果准确可靠，已成为分析此类成分的首选技术。本标准的制定，旨在建立一个专用于姜黄及其制品中三种姜黄素含量测定的、经过严格方法学验证的HPLC法，填补该领域团体标准的空白，为行业提供一套先进、可靠、可操作的技术方案。</w:t>
      </w:r>
    </w:p>
    <w:p w14:paraId="192DD742">
      <w:pPr>
        <w:autoSpaceDE w:val="0"/>
        <w:autoSpaceDN w:val="0"/>
        <w:adjustRightInd w:val="0"/>
        <w:spacing w:line="560" w:lineRule="exact"/>
        <w:ind w:firstLine="640"/>
        <w:rPr>
          <w:rFonts w:ascii="楷体_GB2312" w:hAnsi="宋体" w:eastAsia="楷体_GB2312"/>
          <w:szCs w:val="28"/>
        </w:rPr>
      </w:pPr>
      <w:r>
        <w:rPr>
          <w:rFonts w:hint="eastAsia" w:ascii="楷体_GB2312" w:hAnsi="宋体" w:eastAsia="楷体_GB2312"/>
          <w:szCs w:val="28"/>
        </w:rPr>
        <w:t>3、强化行业监管与市场规范，保护消费者权益</w:t>
      </w:r>
    </w:p>
    <w:p w14:paraId="4C74BED5">
      <w:pPr>
        <w:autoSpaceDE w:val="0"/>
        <w:autoSpaceDN w:val="0"/>
        <w:adjustRightInd w:val="0"/>
        <w:spacing w:line="560" w:lineRule="exact"/>
        <w:ind w:firstLine="640"/>
        <w:rPr>
          <w:rFonts w:ascii="仿宋_GB2312" w:hAnsi="宋体"/>
          <w:szCs w:val="28"/>
        </w:rPr>
      </w:pPr>
      <w:r>
        <w:rPr>
          <w:rFonts w:hint="eastAsia" w:ascii="仿宋_GB2312" w:hAnsi="宋体"/>
          <w:szCs w:val="28"/>
        </w:rPr>
        <w:t>在缺乏统一标准的情况下，市场上容易出现以次充好、虚假宣传等不规范行为，损害了守法企业的利益和消费者的合法权益。本标准的建立，为政府监管机构、第三方检测机构和行业自律组织提供了有力的技术工具，能够对市场上的姜黄产品进行有效监督和抽查，打击假冒伪劣，净化市场环境。同时，它也有助于引导企业诚信经营，明确标注产品中功效成分的含量，保障消费者的知情权和选择权，促进市场良性循环。</w:t>
      </w:r>
    </w:p>
    <w:p w14:paraId="0042BB81">
      <w:pPr>
        <w:autoSpaceDE w:val="0"/>
        <w:autoSpaceDN w:val="0"/>
        <w:adjustRightInd w:val="0"/>
        <w:spacing w:line="560" w:lineRule="exact"/>
        <w:ind w:firstLine="640"/>
        <w:rPr>
          <w:rFonts w:ascii="楷体_GB2312" w:hAnsi="宋体" w:eastAsia="楷体_GB2312"/>
          <w:szCs w:val="28"/>
        </w:rPr>
      </w:pPr>
      <w:r>
        <w:rPr>
          <w:rFonts w:hint="eastAsia" w:ascii="楷体_GB2312" w:hAnsi="宋体" w:eastAsia="楷体_GB2312"/>
          <w:szCs w:val="28"/>
        </w:rPr>
        <w:t>4、促进科技创新与国际接轨</w:t>
      </w:r>
    </w:p>
    <w:p w14:paraId="1E371B93">
      <w:pPr>
        <w:autoSpaceDE w:val="0"/>
        <w:autoSpaceDN w:val="0"/>
        <w:adjustRightInd w:val="0"/>
        <w:spacing w:line="560" w:lineRule="exact"/>
        <w:ind w:firstLine="640"/>
        <w:rPr>
          <w:rFonts w:ascii="仿宋_GB2312" w:hAnsi="宋体"/>
          <w:szCs w:val="28"/>
        </w:rPr>
      </w:pPr>
      <w:r>
        <w:rPr>
          <w:rFonts w:hint="eastAsia" w:ascii="仿宋_GB2312" w:hAnsi="宋体"/>
          <w:szCs w:val="28"/>
        </w:rPr>
        <w:t>姜黄素的健康功效是全球研究的热点，相关产品的国际贸易也日趋频繁。一个科学严谨的检测标准，是科研成果相互认可、产品质量国际互认的重要基础。本标准的制定，不仅服务于国内产业，也为我国姜黄产品参与国际竞争、应对技术性贸易壁垒提供了技术支撑。它有助于提升我国在姜黄标准化领域的国际话语权，推动相关科研成果的转化和应用。</w:t>
      </w:r>
    </w:p>
    <w:p w14:paraId="2F93EBBB">
      <w:pPr>
        <w:autoSpaceDE w:val="0"/>
        <w:autoSpaceDN w:val="0"/>
        <w:adjustRightInd w:val="0"/>
        <w:spacing w:line="560" w:lineRule="exact"/>
        <w:ind w:firstLine="640"/>
        <w:rPr>
          <w:rFonts w:ascii="仿宋_GB2312" w:hAnsi="宋体"/>
          <w:szCs w:val="28"/>
        </w:rPr>
      </w:pPr>
      <w:r>
        <w:rPr>
          <w:rFonts w:hint="eastAsia" w:ascii="仿宋_GB2312" w:hAnsi="宋体"/>
          <w:szCs w:val="28"/>
        </w:rPr>
        <w:t>综上所述，制定《姜黄及其制品中姜黄素、去甲氧基姜黄素和双去甲氧基姜黄素含量的测定 高效液相色谱法》团体标准，是响应产业发展需求、完善标准体系、规范市场秩序、保障消费者权益和促进技术进步的必然要求。本标准的实施，将对提升我国姜黄产业整体质量水平、增强产品市场竞争力、推动行业持续健康发展具有重要而深远的意义。</w:t>
      </w:r>
    </w:p>
    <w:p w14:paraId="7B66F9F1">
      <w:pPr>
        <w:autoSpaceDE w:val="0"/>
        <w:autoSpaceDN w:val="0"/>
        <w:adjustRightInd w:val="0"/>
        <w:spacing w:line="560" w:lineRule="exact"/>
        <w:ind w:firstLine="640"/>
        <w:jc w:val="left"/>
        <w:rPr>
          <w:rFonts w:ascii="黑体" w:hAnsi="黑体" w:eastAsia="黑体" w:cs="仿宋_GB2312"/>
          <w:szCs w:val="32"/>
        </w:rPr>
      </w:pPr>
      <w:r>
        <w:rPr>
          <w:rFonts w:hint="eastAsia" w:ascii="黑体" w:hAnsi="黑体" w:eastAsia="黑体" w:cs="仿宋_GB2312"/>
          <w:szCs w:val="32"/>
        </w:rPr>
        <w:t>三、主要起草过程</w:t>
      </w:r>
    </w:p>
    <w:p w14:paraId="632FE3D2">
      <w:pPr>
        <w:autoSpaceDE w:val="0"/>
        <w:autoSpaceDN w:val="0"/>
        <w:adjustRightInd w:val="0"/>
        <w:spacing w:line="560" w:lineRule="exact"/>
        <w:ind w:firstLine="640"/>
        <w:rPr>
          <w:rFonts w:ascii="楷体_GB2312" w:hAnsi="宋体" w:eastAsia="楷体_GB2312"/>
          <w:szCs w:val="28"/>
        </w:rPr>
      </w:pPr>
      <w:r>
        <w:rPr>
          <w:rFonts w:hint="eastAsia" w:ascii="楷体_GB2312" w:hAnsi="宋体" w:eastAsia="楷体_GB2312"/>
          <w:szCs w:val="28"/>
        </w:rPr>
        <w:t>（一）成立标准编制工作组</w:t>
      </w:r>
    </w:p>
    <w:p w14:paraId="37F06AF3">
      <w:pPr>
        <w:ind w:firstLine="640"/>
        <w:rPr>
          <w:rFonts w:ascii="仿宋_GB2312" w:hAnsi="宋体"/>
          <w:szCs w:val="28"/>
        </w:rPr>
      </w:pPr>
      <w:r>
        <w:rPr>
          <w:rFonts w:hint="eastAsia" w:ascii="仿宋_GB2312" w:hAnsi="宋体"/>
          <w:szCs w:val="28"/>
        </w:rPr>
        <w:t>项目任务下达后，玉林市食品药品检验检测中心作为牵头单位，迅速组织成立了标准编制工作组，联合广西-东盟食品检验检测中心、广西壮族自治区药用植物园等单位的相关专业人员共同参与。</w:t>
      </w:r>
    </w:p>
    <w:p w14:paraId="16ADB36C">
      <w:pPr>
        <w:ind w:firstLine="640"/>
        <w:rPr>
          <w:rFonts w:ascii="仿宋_GB2312" w:hAnsi="宋体"/>
          <w:szCs w:val="28"/>
        </w:rPr>
      </w:pPr>
      <w:r>
        <w:rPr>
          <w:rFonts w:hint="eastAsia" w:ascii="仿宋_GB2312" w:hAnsi="宋体"/>
          <w:szCs w:val="28"/>
        </w:rPr>
        <w:t>为保障标准编制工作的有序推进，工作组制定了详细的编写方案与进度计划，明确各阶段任务分工与技术路线。根据工作职能需要，设立以下三个专业小组：</w:t>
      </w:r>
    </w:p>
    <w:p w14:paraId="18E631F4">
      <w:pPr>
        <w:ind w:firstLine="640"/>
        <w:rPr>
          <w:rFonts w:ascii="仿宋_GB2312" w:hAnsi="宋体"/>
          <w:szCs w:val="28"/>
        </w:rPr>
      </w:pPr>
      <w:r>
        <w:rPr>
          <w:rFonts w:hint="eastAsia" w:ascii="仿宋_GB2312" w:hAnsi="宋体"/>
          <w:szCs w:val="28"/>
        </w:rPr>
        <w:t>1、资料收集组：负责系统检索、整理国内外与姜黄素类成分测定及姜黄制品相关的标准文献、研究论文和技术资料，为编制工作提供理论依据和技术参考。</w:t>
      </w:r>
    </w:p>
    <w:p w14:paraId="293203DF">
      <w:pPr>
        <w:ind w:firstLine="640"/>
        <w:rPr>
          <w:rFonts w:ascii="仿宋_GB2312" w:hAnsi="宋体"/>
          <w:szCs w:val="28"/>
        </w:rPr>
      </w:pPr>
      <w:r>
        <w:rPr>
          <w:rFonts w:hint="eastAsia" w:ascii="仿宋_GB2312" w:hAnsi="宋体"/>
          <w:szCs w:val="28"/>
        </w:rPr>
        <w:t>2、草案编写组：负责标准草案、征求意见稿、送审稿及其编制说明的起草与撰写工作，组织内外部征求意见，并根据反馈持续修改和完善标准文本。</w:t>
      </w:r>
    </w:p>
    <w:p w14:paraId="0304AC9F">
      <w:pPr>
        <w:ind w:firstLine="640"/>
        <w:rPr>
          <w:rFonts w:ascii="仿宋_GB2312" w:hAnsi="宋体"/>
          <w:szCs w:val="28"/>
        </w:rPr>
      </w:pPr>
      <w:r>
        <w:rPr>
          <w:rFonts w:hint="eastAsia" w:ascii="仿宋_GB2312" w:hAnsi="宋体"/>
          <w:szCs w:val="28"/>
        </w:rPr>
        <w:t>3、标准实施组：负责在标准发布后，组织开展面向相关企事业单位的宣贯培训，对标准内容进行专业解读，推动检测方法的规范应用，并跟踪评估标准实施效果，收集反馈意见以供后续修订。</w:t>
      </w:r>
    </w:p>
    <w:p w14:paraId="202B491D">
      <w:pPr>
        <w:autoSpaceDE w:val="0"/>
        <w:autoSpaceDN w:val="0"/>
        <w:adjustRightInd w:val="0"/>
        <w:spacing w:line="560" w:lineRule="exact"/>
        <w:ind w:firstLine="640"/>
        <w:rPr>
          <w:rFonts w:ascii="楷体_GB2312" w:hAnsi="宋体" w:eastAsia="楷体_GB2312"/>
          <w:szCs w:val="28"/>
        </w:rPr>
      </w:pPr>
      <w:r>
        <w:rPr>
          <w:rFonts w:hint="eastAsia" w:ascii="楷体_GB2312" w:hAnsi="宋体" w:eastAsia="楷体_GB2312"/>
          <w:szCs w:val="28"/>
        </w:rPr>
        <w:t>（二）收集整理文献资料</w:t>
      </w:r>
    </w:p>
    <w:p w14:paraId="048950F5">
      <w:pPr>
        <w:ind w:firstLine="640"/>
        <w:rPr>
          <w:rFonts w:ascii="仿宋_GB2312" w:hAnsi="宋体"/>
          <w:szCs w:val="28"/>
        </w:rPr>
      </w:pPr>
      <w:r>
        <w:rPr>
          <w:rFonts w:hint="eastAsia" w:ascii="仿宋_GB2312" w:hAnsi="宋体"/>
          <w:szCs w:val="28"/>
        </w:rPr>
        <w:t>工作组系统收集、整理并分析了与测定目标成分相关的各类技术资料，重点研究了以下标准与文献：</w:t>
      </w:r>
    </w:p>
    <w:p w14:paraId="77587B74">
      <w:pPr>
        <w:ind w:firstLine="640"/>
        <w:rPr>
          <w:rFonts w:ascii="仿宋_GB2312" w:hAnsi="宋体"/>
          <w:szCs w:val="28"/>
        </w:rPr>
      </w:pPr>
      <w:r>
        <w:rPr>
          <w:rFonts w:hint="eastAsia" w:ascii="仿宋_GB2312" w:hAnsi="宋体"/>
          <w:szCs w:val="28"/>
        </w:rPr>
        <w:t>行业标准：SN/T 4890-2017 《出口食品中姜黄素的测定 高效液相色谱法和液相色谱-质谱/质谱法》；</w:t>
      </w:r>
    </w:p>
    <w:p w14:paraId="4B313941">
      <w:pPr>
        <w:ind w:firstLine="640"/>
        <w:rPr>
          <w:rFonts w:ascii="仿宋_GB2312" w:hAnsi="宋体"/>
          <w:szCs w:val="28"/>
        </w:rPr>
      </w:pPr>
      <w:r>
        <w:rPr>
          <w:rFonts w:hint="eastAsia" w:ascii="仿宋_GB2312" w:hAnsi="宋体"/>
          <w:szCs w:val="28"/>
        </w:rPr>
        <w:t>国家标准：GB 1886.76-2015 《食品安全国家标准 食品添加剂 姜黄素》；</w:t>
      </w:r>
      <w:r>
        <w:rPr>
          <w:rFonts w:ascii="仿宋_GB2312" w:hAnsi="宋体"/>
          <w:szCs w:val="28"/>
        </w:rPr>
        <w:t xml:space="preserve"> </w:t>
      </w:r>
    </w:p>
    <w:p w14:paraId="35C8470A">
      <w:pPr>
        <w:ind w:firstLine="640"/>
        <w:rPr>
          <w:rFonts w:ascii="仿宋_GB2312" w:hAnsi="宋体"/>
          <w:szCs w:val="28"/>
        </w:rPr>
      </w:pPr>
      <w:r>
        <w:rPr>
          <w:rFonts w:hint="eastAsia" w:ascii="仿宋_GB2312" w:hAnsi="宋体"/>
          <w:szCs w:val="28"/>
        </w:rPr>
        <w:t>历史参考：已废止的地方标准 DB34/T 1537-2011 《食品中姜黄素含量的测定 液相色谱法》；</w:t>
      </w:r>
    </w:p>
    <w:p w14:paraId="6678CD77">
      <w:pPr>
        <w:ind w:firstLine="640"/>
        <w:rPr>
          <w:rFonts w:ascii="仿宋_GB2312" w:hAnsi="宋体"/>
          <w:szCs w:val="28"/>
        </w:rPr>
      </w:pPr>
      <w:r>
        <w:rPr>
          <w:rFonts w:hint="eastAsia" w:ascii="仿宋_GB2312" w:hAnsi="宋体"/>
          <w:szCs w:val="28"/>
        </w:rPr>
        <w:t>团体标准：T/SDTES 007-2023《植物染料中姜黄素类化合物含量的测定 高效液相色谱法》；</w:t>
      </w:r>
    </w:p>
    <w:p w14:paraId="6803F5F9">
      <w:pPr>
        <w:ind w:firstLine="640"/>
        <w:rPr>
          <w:rFonts w:ascii="仿宋_GB2312" w:hAnsi="宋体"/>
          <w:szCs w:val="28"/>
        </w:rPr>
      </w:pPr>
      <w:r>
        <w:rPr>
          <w:rFonts w:hint="eastAsia" w:ascii="仿宋_GB2312" w:hAnsi="宋体"/>
          <w:szCs w:val="28"/>
        </w:rPr>
        <w:t>学术论文：多篇发表于《中国医药科学》《中医学报》《中南药学》等核心期刊的相关研究论文。</w:t>
      </w:r>
    </w:p>
    <w:p w14:paraId="13424F39">
      <w:pPr>
        <w:ind w:firstLine="640"/>
        <w:rPr>
          <w:rFonts w:ascii="仿宋_GB2312" w:hAnsi="宋体"/>
          <w:szCs w:val="28"/>
        </w:rPr>
      </w:pPr>
      <w:r>
        <w:rPr>
          <w:rFonts w:hint="eastAsia" w:ascii="仿宋_GB2312" w:hAnsi="宋体"/>
          <w:szCs w:val="28"/>
        </w:rPr>
        <w:t>通过对上述资料的对比分析与综合评估，工作组全面掌握了不同基质中姜黄素类成分含量测定的方法原理、前处理技术、色谱条件及方法验证等关键要素，明确了现有方法的优势与局限性，为本标准方法的优化与创新提供了明确方向和充分依据。</w:t>
      </w:r>
    </w:p>
    <w:p w14:paraId="728F7886">
      <w:pPr>
        <w:autoSpaceDE w:val="0"/>
        <w:autoSpaceDN w:val="0"/>
        <w:adjustRightInd w:val="0"/>
        <w:spacing w:line="560" w:lineRule="exact"/>
        <w:ind w:firstLine="640"/>
        <w:rPr>
          <w:rFonts w:ascii="楷体_GB2312" w:hAnsi="宋体" w:eastAsia="楷体_GB2312"/>
          <w:szCs w:val="28"/>
        </w:rPr>
      </w:pPr>
      <w:r>
        <w:rPr>
          <w:rFonts w:hint="eastAsia" w:ascii="楷体_GB2312" w:hAnsi="宋体" w:eastAsia="楷体_GB2312"/>
          <w:szCs w:val="28"/>
        </w:rPr>
        <w:t>（三）研讨确定标准特色、创新点及主体内容</w:t>
      </w:r>
    </w:p>
    <w:p w14:paraId="4CE47957">
      <w:pPr>
        <w:ind w:firstLine="640"/>
        <w:rPr>
          <w:rFonts w:ascii="仿宋_GB2312" w:hAnsi="宋体"/>
          <w:szCs w:val="28"/>
        </w:rPr>
      </w:pPr>
      <w:r>
        <w:rPr>
          <w:rFonts w:hint="eastAsia" w:ascii="仿宋_GB2312" w:hAnsi="宋体"/>
          <w:szCs w:val="28"/>
        </w:rPr>
        <w:t>在充分文献调研的基础上，工作组组织了多次内部技术研讨会，对标准的技术路线、核心参数及文本结构进行了深入论证，最终确立了本标准的技术特色与主体内容。</w:t>
      </w:r>
    </w:p>
    <w:p w14:paraId="38466CAD">
      <w:pPr>
        <w:ind w:firstLine="640"/>
        <w:rPr>
          <w:rFonts w:ascii="仿宋_GB2312" w:hAnsi="宋体"/>
          <w:szCs w:val="28"/>
        </w:rPr>
      </w:pPr>
      <w:r>
        <w:rPr>
          <w:rFonts w:hint="eastAsia" w:ascii="仿宋_GB2312" w:hAnsi="宋体"/>
          <w:szCs w:val="28"/>
        </w:rPr>
        <w:t>1、特色与创新点：</w:t>
      </w:r>
    </w:p>
    <w:p w14:paraId="7FCDAEBC">
      <w:pPr>
        <w:ind w:firstLine="640"/>
        <w:rPr>
          <w:rFonts w:ascii="仿宋_GB2312" w:hAnsi="宋体"/>
          <w:szCs w:val="28"/>
        </w:rPr>
      </w:pPr>
      <w:r>
        <w:rPr>
          <w:rFonts w:hint="eastAsia" w:ascii="仿宋_GB2312" w:hAnsi="宋体"/>
          <w:szCs w:val="28"/>
        </w:rPr>
        <w:t>（1）适用范围广：将标准适用范围从单一的姜黄原料显著扩展至包括姜黄粉、提取物、保健食品等在内的各类“姜黄及其制品”，提升了标准的实用价值与行业覆盖面。</w:t>
      </w:r>
    </w:p>
    <w:p w14:paraId="75BC551A">
      <w:pPr>
        <w:ind w:firstLine="640"/>
        <w:rPr>
          <w:rFonts w:ascii="仿宋_GB2312" w:hAnsi="宋体"/>
          <w:szCs w:val="28"/>
        </w:rPr>
      </w:pPr>
      <w:r>
        <w:rPr>
          <w:rFonts w:hint="eastAsia" w:ascii="仿宋_GB2312" w:hAnsi="宋体"/>
          <w:szCs w:val="28"/>
        </w:rPr>
        <w:t>（2）技术方案优：在借鉴现有方法优点的基础上，重点针对复杂制品的样品前处理流程（如提取溶剂、提取方式）及色谱分离条件（如流动相、梯度程序）进行了系统性优化与验证，旨在提升方法的提取效率、分离效果、准确性及重复性。</w:t>
      </w:r>
    </w:p>
    <w:p w14:paraId="451F18C8">
      <w:pPr>
        <w:ind w:firstLine="640"/>
        <w:rPr>
          <w:rFonts w:ascii="仿宋_GB2312" w:hAnsi="宋体"/>
          <w:szCs w:val="28"/>
        </w:rPr>
      </w:pPr>
      <w:r>
        <w:rPr>
          <w:rFonts w:hint="eastAsia" w:ascii="仿宋_GB2312" w:hAnsi="宋体"/>
          <w:szCs w:val="28"/>
        </w:rPr>
        <w:t>（3）可操作性强：充分考虑了国内常规检测实验室的仪器配置与技术能力，确保所建立的方法步骤清晰、条件易于实现，具有良好的适用性与推广价值。</w:t>
      </w:r>
    </w:p>
    <w:p w14:paraId="3E3F30BE">
      <w:pPr>
        <w:ind w:firstLine="640"/>
        <w:rPr>
          <w:rFonts w:ascii="仿宋_GB2312" w:hAnsi="宋体"/>
          <w:szCs w:val="28"/>
        </w:rPr>
      </w:pPr>
      <w:r>
        <w:rPr>
          <w:rFonts w:hint="eastAsia" w:ascii="仿宋_GB2312" w:hAnsi="宋体"/>
          <w:szCs w:val="28"/>
        </w:rPr>
        <w:t>2、主体内容架构：</w:t>
      </w:r>
    </w:p>
    <w:p w14:paraId="0722B500">
      <w:pPr>
        <w:ind w:firstLine="640"/>
        <w:rPr>
          <w:rFonts w:ascii="仿宋_GB2312" w:hAnsi="宋体"/>
          <w:szCs w:val="28"/>
        </w:rPr>
      </w:pPr>
      <w:r>
        <w:rPr>
          <w:rFonts w:hint="eastAsia" w:ascii="仿宋_GB2312" w:hAnsi="宋体"/>
          <w:szCs w:val="28"/>
        </w:rPr>
        <w:t>标准文本严格遵循方法标准编写规范，结构完整、层次清晰，主要内容包括：范围、规范性引用文件、术语和定义、原理、试剂与材料、仪器和设备、分析步骤、结果计算与表述、精密度等章节，构成了一个科学、严谨、可操作的检测方法标准体系。</w:t>
      </w:r>
    </w:p>
    <w:p w14:paraId="21B136E3">
      <w:pPr>
        <w:autoSpaceDE w:val="0"/>
        <w:autoSpaceDN w:val="0"/>
        <w:adjustRightInd w:val="0"/>
        <w:spacing w:line="560" w:lineRule="exact"/>
        <w:ind w:firstLine="640"/>
        <w:rPr>
          <w:rFonts w:ascii="楷体_GB2312" w:hAnsi="宋体" w:eastAsia="楷体_GB2312"/>
          <w:szCs w:val="28"/>
        </w:rPr>
      </w:pPr>
      <w:r>
        <w:rPr>
          <w:rFonts w:hint="eastAsia" w:ascii="楷体_GB2312" w:hAnsi="宋体" w:eastAsia="楷体_GB2312"/>
          <w:szCs w:val="28"/>
        </w:rPr>
        <w:t>（四）调研及形成草案、征求意见稿</w:t>
      </w:r>
    </w:p>
    <w:p w14:paraId="7CF4C177">
      <w:pPr>
        <w:ind w:firstLine="640"/>
        <w:rPr>
          <w:rFonts w:ascii="仿宋_GB2312" w:hAnsi="宋体"/>
          <w:szCs w:val="28"/>
        </w:rPr>
      </w:pPr>
      <w:r>
        <w:rPr>
          <w:rFonts w:hint="eastAsia" w:ascii="仿宋_GB2312" w:hAnsi="宋体"/>
          <w:szCs w:val="28"/>
        </w:rPr>
        <w:t>本阶段的各项工作严格按照预定计划推进，具体时间节点与工作成果如下：</w:t>
      </w:r>
    </w:p>
    <w:p w14:paraId="094104C0">
      <w:pPr>
        <w:ind w:firstLine="640"/>
        <w:rPr>
          <w:rFonts w:ascii="仿宋_GB2312" w:hAnsi="宋体"/>
          <w:szCs w:val="28"/>
        </w:rPr>
      </w:pPr>
      <w:r>
        <w:rPr>
          <w:rFonts w:hint="eastAsia" w:ascii="仿宋_GB2312" w:hAnsi="宋体"/>
          <w:szCs w:val="28"/>
        </w:rPr>
        <w:t>2025年5</w:t>
      </w:r>
      <w:r>
        <w:rPr>
          <w:rFonts w:hint="eastAsia" w:ascii="仿宋_GB2312" w:hAnsi="宋体" w:eastAsia="宋体" w:cs="宋体"/>
          <w:szCs w:val="28"/>
        </w:rPr>
        <w:t>–</w:t>
      </w:r>
      <w:r>
        <w:rPr>
          <w:rFonts w:hint="eastAsia" w:ascii="仿宋_GB2312" w:hAnsi="宋体"/>
          <w:szCs w:val="28"/>
        </w:rPr>
        <w:t>6月（调研与框架设计阶段）：工作组在广泛调研和系统梳理文献的基础上，结合姜黄产业的发展现状与实际检测需求，初步构建了标准的核心技术框架与主体内容安排。</w:t>
      </w:r>
    </w:p>
    <w:p w14:paraId="5B79C72B">
      <w:pPr>
        <w:ind w:firstLine="640"/>
        <w:rPr>
          <w:rFonts w:ascii="仿宋_GB2312" w:hAnsi="宋体"/>
          <w:szCs w:val="28"/>
        </w:rPr>
      </w:pPr>
      <w:r>
        <w:rPr>
          <w:rFonts w:hint="eastAsia" w:ascii="仿宋_GB2312" w:hAnsi="宋体"/>
          <w:szCs w:val="28"/>
        </w:rPr>
        <w:t>2025年7</w:t>
      </w:r>
      <w:r>
        <w:rPr>
          <w:rFonts w:hint="eastAsia" w:ascii="仿宋_GB2312" w:hAnsi="宋体" w:eastAsia="宋体" w:cs="宋体"/>
          <w:szCs w:val="28"/>
        </w:rPr>
        <w:t>–</w:t>
      </w:r>
      <w:r>
        <w:rPr>
          <w:rFonts w:hint="eastAsia" w:ascii="仿宋_GB2312" w:hAnsi="宋体"/>
          <w:szCs w:val="28"/>
        </w:rPr>
        <w:t>8月（方法学研究与草案初步编制阶段）：依据“简化、统一、适用”的原则，整合技术资料与前期研讨成果，开展方法学研究，并完成了团体标准草案的初稿编制。</w:t>
      </w:r>
    </w:p>
    <w:p w14:paraId="28790EA0">
      <w:pPr>
        <w:ind w:firstLine="640"/>
        <w:rPr>
          <w:rFonts w:ascii="仿宋_GB2312" w:hAnsi="宋体"/>
          <w:szCs w:val="28"/>
        </w:rPr>
      </w:pPr>
      <w:r>
        <w:rPr>
          <w:rFonts w:hint="eastAsia" w:ascii="仿宋_GB2312" w:hAnsi="宋体"/>
          <w:szCs w:val="28"/>
        </w:rPr>
        <w:t>2025年9</w:t>
      </w:r>
      <w:r>
        <w:rPr>
          <w:rFonts w:hint="eastAsia" w:ascii="仿宋_GB2312" w:hAnsi="宋体" w:eastAsia="宋体" w:cs="宋体"/>
          <w:szCs w:val="28"/>
        </w:rPr>
        <w:t>–</w:t>
      </w:r>
      <w:r>
        <w:rPr>
          <w:rFonts w:hint="eastAsia" w:ascii="仿宋_GB2312" w:hAnsi="宋体"/>
          <w:szCs w:val="28"/>
        </w:rPr>
        <w:t>11月（实验验证与意见征集阶段）：组织开展实验室间方法验证工作，并通过多种渠道征集各方意见。工作组对反馈意见进行逐条研究、多次讨论，不断修改完善标准文本，最终形成《姜黄及其制品中姜黄素、去甲氧基姜黄素和双去甲氧基姜黄素含量的测定 高效液相色谱法》（征求意见稿）及相应的编制说明。</w:t>
      </w:r>
    </w:p>
    <w:p w14:paraId="2487DF43">
      <w:pPr>
        <w:autoSpaceDE w:val="0"/>
        <w:autoSpaceDN w:val="0"/>
        <w:adjustRightInd w:val="0"/>
        <w:ind w:firstLine="640"/>
        <w:jc w:val="left"/>
        <w:rPr>
          <w:rFonts w:eastAsia="黑体"/>
          <w:bCs/>
          <w:szCs w:val="32"/>
        </w:rPr>
      </w:pPr>
      <w:bookmarkStart w:id="0" w:name="_Toc526940083"/>
      <w:r>
        <w:rPr>
          <w:rFonts w:eastAsia="黑体"/>
          <w:bCs/>
          <w:szCs w:val="32"/>
        </w:rPr>
        <w:t>四、</w:t>
      </w:r>
      <w:bookmarkEnd w:id="0"/>
      <w:r>
        <w:rPr>
          <w:rFonts w:eastAsia="黑体"/>
          <w:bCs/>
          <w:szCs w:val="32"/>
        </w:rPr>
        <w:t>制定标准的原则和依据，与现行法律、法规的关系，与有关国家标准、行业标准的协调情况</w:t>
      </w:r>
    </w:p>
    <w:p w14:paraId="32EE72C9">
      <w:pPr>
        <w:autoSpaceDE w:val="0"/>
        <w:autoSpaceDN w:val="0"/>
        <w:adjustRightInd w:val="0"/>
        <w:spacing w:line="560" w:lineRule="exact"/>
        <w:ind w:firstLine="640"/>
        <w:rPr>
          <w:rFonts w:ascii="楷体_GB2312" w:hAnsi="宋体" w:eastAsia="楷体_GB2312"/>
          <w:szCs w:val="28"/>
        </w:rPr>
      </w:pPr>
      <w:r>
        <w:rPr>
          <w:rFonts w:ascii="楷体_GB2312" w:hAnsi="宋体" w:eastAsia="楷体_GB2312"/>
          <w:szCs w:val="28"/>
        </w:rPr>
        <w:t>（一）编制原则</w:t>
      </w:r>
    </w:p>
    <w:p w14:paraId="66BA91CA">
      <w:pPr>
        <w:tabs>
          <w:tab w:val="center" w:pos="4201"/>
          <w:tab w:val="right" w:leader="dot" w:pos="9298"/>
        </w:tabs>
        <w:autoSpaceDE w:val="0"/>
        <w:autoSpaceDN w:val="0"/>
        <w:ind w:firstLine="640"/>
        <w:outlineLvl w:val="2"/>
        <w:rPr>
          <w:rFonts w:ascii="仿宋_GB2312" w:hAnsi="宋体"/>
          <w:szCs w:val="28"/>
        </w:rPr>
      </w:pPr>
      <w:r>
        <w:rPr>
          <w:rFonts w:hint="eastAsia" w:ascii="仿宋_GB2312" w:hAnsi="宋体"/>
          <w:szCs w:val="28"/>
        </w:rPr>
        <w:t>1、实用性原则</w:t>
      </w:r>
    </w:p>
    <w:p w14:paraId="621E242C">
      <w:pPr>
        <w:ind w:firstLine="640"/>
        <w:rPr>
          <w:rFonts w:ascii="仿宋_GB2312" w:hAnsi="宋体"/>
          <w:szCs w:val="28"/>
        </w:rPr>
      </w:pPr>
      <w:r>
        <w:rPr>
          <w:rFonts w:hint="eastAsia" w:ascii="仿宋_GB2312" w:hAnsi="宋体"/>
          <w:szCs w:val="28"/>
        </w:rPr>
        <w:t>本文件是在充分收集相关资料和文献，分析姜黄及其制品中姜黄素、去甲氧基姜黄素和双去甲氧基姜黄素含量测定当前现状，在现有相关姜黄及其制品中姜黄素、去甲氧基姜黄素和双去甲氧基姜黄素含量测定技术要求的基础上，结合编制单位多年相关经验而总结起草的，符合当前姜黄及其制品中姜黄素、去甲氧基姜黄素和双去甲氧基姜黄素含量测定发展的方向，具有较强的实用性和可操作性。</w:t>
      </w:r>
    </w:p>
    <w:p w14:paraId="2319D96F">
      <w:pPr>
        <w:tabs>
          <w:tab w:val="center" w:pos="4201"/>
          <w:tab w:val="right" w:leader="dot" w:pos="9298"/>
        </w:tabs>
        <w:autoSpaceDE w:val="0"/>
        <w:autoSpaceDN w:val="0"/>
        <w:ind w:firstLine="640"/>
        <w:outlineLvl w:val="2"/>
        <w:rPr>
          <w:rFonts w:ascii="仿宋_GB2312"/>
          <w:bCs/>
          <w:kern w:val="0"/>
          <w:szCs w:val="32"/>
        </w:rPr>
      </w:pPr>
      <w:r>
        <w:rPr>
          <w:rFonts w:hint="eastAsia" w:ascii="仿宋_GB2312"/>
          <w:bCs/>
          <w:kern w:val="0"/>
          <w:szCs w:val="32"/>
        </w:rPr>
        <w:t>2、协调性原则</w:t>
      </w:r>
    </w:p>
    <w:p w14:paraId="11582802">
      <w:pPr>
        <w:ind w:firstLine="640"/>
        <w:rPr>
          <w:rFonts w:ascii="仿宋_GB2312" w:hAnsi="宋体"/>
          <w:szCs w:val="28"/>
        </w:rPr>
      </w:pPr>
      <w:r>
        <w:rPr>
          <w:rFonts w:hint="eastAsia" w:ascii="仿宋_GB2312" w:hAnsi="宋体"/>
          <w:szCs w:val="28"/>
        </w:rPr>
        <w:t>本文件编写过程中注意了与姜黄及其制品中姜黄素、去甲氧基姜黄素和双去甲氧基姜黄素含量测定相关法律法规的协调问题，在内容上与现行法律法规、标准协调一致。</w:t>
      </w:r>
    </w:p>
    <w:p w14:paraId="08C779B5">
      <w:pPr>
        <w:tabs>
          <w:tab w:val="center" w:pos="4201"/>
          <w:tab w:val="right" w:leader="dot" w:pos="9298"/>
        </w:tabs>
        <w:autoSpaceDE w:val="0"/>
        <w:autoSpaceDN w:val="0"/>
        <w:ind w:firstLine="640"/>
        <w:outlineLvl w:val="2"/>
        <w:rPr>
          <w:rFonts w:ascii="仿宋_GB2312"/>
          <w:bCs/>
          <w:kern w:val="0"/>
          <w:szCs w:val="32"/>
        </w:rPr>
      </w:pPr>
      <w:r>
        <w:rPr>
          <w:rFonts w:hint="eastAsia" w:ascii="仿宋_GB2312"/>
          <w:bCs/>
          <w:kern w:val="0"/>
          <w:szCs w:val="32"/>
        </w:rPr>
        <w:t>3、规范性原则</w:t>
      </w:r>
    </w:p>
    <w:p w14:paraId="00568388">
      <w:pPr>
        <w:ind w:firstLine="640"/>
        <w:rPr>
          <w:rFonts w:ascii="仿宋_GB2312" w:hAnsi="宋体"/>
          <w:szCs w:val="28"/>
        </w:rPr>
      </w:pPr>
      <w:r>
        <w:rPr>
          <w:rFonts w:hint="eastAsia" w:ascii="仿宋_GB2312" w:hAnsi="宋体"/>
          <w:szCs w:val="28"/>
        </w:rPr>
        <w:t>本文件严格参照GB/T 1.1—2020《标准化工作导则  第1部分：标准化文件的结构和起草规则》编写本标准的内容，保证标准的编写质量。</w:t>
      </w:r>
    </w:p>
    <w:p w14:paraId="190912E8">
      <w:pPr>
        <w:tabs>
          <w:tab w:val="center" w:pos="4201"/>
          <w:tab w:val="right" w:leader="dot" w:pos="9298"/>
        </w:tabs>
        <w:autoSpaceDE w:val="0"/>
        <w:autoSpaceDN w:val="0"/>
        <w:ind w:firstLine="640"/>
        <w:outlineLvl w:val="2"/>
        <w:rPr>
          <w:rFonts w:ascii="仿宋_GB2312"/>
          <w:bCs/>
          <w:kern w:val="0"/>
          <w:szCs w:val="32"/>
        </w:rPr>
      </w:pPr>
      <w:r>
        <w:rPr>
          <w:rFonts w:hint="eastAsia" w:ascii="仿宋_GB2312"/>
          <w:bCs/>
          <w:kern w:val="0"/>
          <w:szCs w:val="32"/>
        </w:rPr>
        <w:t>4、前瞻性原则</w:t>
      </w:r>
    </w:p>
    <w:p w14:paraId="25BE4081">
      <w:pPr>
        <w:ind w:firstLine="640"/>
        <w:rPr>
          <w:rFonts w:ascii="仿宋_GB2312" w:hAnsi="宋体"/>
          <w:szCs w:val="28"/>
        </w:rPr>
      </w:pPr>
      <w:r>
        <w:rPr>
          <w:rFonts w:hint="eastAsia" w:ascii="仿宋_GB2312" w:hAnsi="宋体"/>
          <w:szCs w:val="28"/>
        </w:rPr>
        <w:t>本文件在兼顾当前区内姜黄及其制品中姜黄素、去甲氧基姜黄素和双去甲氧基姜黄素含量测定现实情况的同时，还考虑到了姜黄及其制品中姜黄素、去甲氧基姜黄素和双去甲氧基姜黄素含量测定快速发展的趋势和需要，在标准中体现了个别特色性、前瞻性和先进性条款，作为对姜黄及其制品中姜黄素、去甲氧基姜黄素和双去甲氧基姜黄素含量测定工作的指导。</w:t>
      </w:r>
    </w:p>
    <w:p w14:paraId="6C40DA50">
      <w:pPr>
        <w:autoSpaceDE w:val="0"/>
        <w:autoSpaceDN w:val="0"/>
        <w:adjustRightInd w:val="0"/>
        <w:spacing w:line="560" w:lineRule="exact"/>
        <w:ind w:firstLine="640"/>
        <w:rPr>
          <w:rFonts w:ascii="楷体_GB2312" w:hAnsi="宋体" w:eastAsia="楷体_GB2312"/>
          <w:szCs w:val="28"/>
        </w:rPr>
      </w:pPr>
      <w:r>
        <w:rPr>
          <w:rFonts w:ascii="楷体_GB2312" w:hAnsi="宋体" w:eastAsia="楷体_GB2312"/>
          <w:szCs w:val="28"/>
        </w:rPr>
        <w:t>（二）</w:t>
      </w:r>
      <w:r>
        <w:rPr>
          <w:rFonts w:hint="eastAsia" w:ascii="楷体_GB2312" w:hAnsi="宋体" w:eastAsia="楷体_GB2312"/>
          <w:szCs w:val="28"/>
        </w:rPr>
        <w:t>标准主要章节内容及确定依据</w:t>
      </w:r>
    </w:p>
    <w:p w14:paraId="530D4926">
      <w:pPr>
        <w:ind w:firstLine="640"/>
        <w:rPr>
          <w:rFonts w:ascii="仿宋_GB2312" w:hAnsi="宋体"/>
          <w:szCs w:val="28"/>
        </w:rPr>
      </w:pPr>
      <w:r>
        <w:rPr>
          <w:rFonts w:ascii="仿宋_GB2312" w:hAnsi="宋体"/>
          <w:szCs w:val="28"/>
        </w:rPr>
        <w:t>本标准严格按照GB/T 1.1—2020《标准化工作导则  第1部分：标准化文件的结构和起草规则》的规则起草，标准主要内容参考相关标准文件并结合起草单位多年的</w:t>
      </w:r>
      <w:r>
        <w:rPr>
          <w:rFonts w:hint="eastAsia" w:ascii="仿宋_GB2312" w:hAnsi="宋体"/>
          <w:szCs w:val="28"/>
        </w:rPr>
        <w:t>相关</w:t>
      </w:r>
      <w:r>
        <w:rPr>
          <w:rFonts w:ascii="仿宋_GB2312" w:hAnsi="宋体"/>
          <w:szCs w:val="28"/>
        </w:rPr>
        <w:t>经验</w:t>
      </w:r>
      <w:r>
        <w:rPr>
          <w:rFonts w:hint="eastAsia" w:ascii="仿宋_GB2312" w:hAnsi="宋体"/>
          <w:szCs w:val="28"/>
        </w:rPr>
        <w:t>和实践</w:t>
      </w:r>
      <w:r>
        <w:rPr>
          <w:rFonts w:ascii="仿宋_GB2312" w:hAnsi="宋体"/>
          <w:szCs w:val="28"/>
        </w:rPr>
        <w:t>验证情况总结进行起草。</w:t>
      </w:r>
    </w:p>
    <w:p w14:paraId="6F6E8FBC">
      <w:pPr>
        <w:autoSpaceDE w:val="0"/>
        <w:autoSpaceDN w:val="0"/>
        <w:adjustRightInd w:val="0"/>
        <w:spacing w:line="560" w:lineRule="exact"/>
        <w:ind w:firstLine="640"/>
        <w:rPr>
          <w:rFonts w:ascii="楷体_GB2312" w:hAnsi="宋体" w:eastAsia="楷体_GB2312"/>
          <w:szCs w:val="28"/>
        </w:rPr>
      </w:pPr>
      <w:r>
        <w:rPr>
          <w:rFonts w:ascii="楷体_GB2312" w:hAnsi="宋体" w:eastAsia="楷体_GB2312"/>
          <w:szCs w:val="28"/>
        </w:rPr>
        <w:t>（三）与现行法律、法规的关系，与有关国家标准、行业标准的协调情况</w:t>
      </w:r>
    </w:p>
    <w:p w14:paraId="4C1B1F64">
      <w:pPr>
        <w:spacing w:line="560" w:lineRule="exact"/>
        <w:ind w:firstLine="640"/>
        <w:rPr>
          <w:rFonts w:ascii="仿宋_GB2312" w:hAnsi="宋体"/>
          <w:szCs w:val="28"/>
        </w:rPr>
      </w:pPr>
      <w:r>
        <w:rPr>
          <w:rFonts w:hint="eastAsia" w:ascii="仿宋_GB2312" w:hAnsi="宋体"/>
          <w:szCs w:val="28"/>
        </w:rPr>
        <w:t>1、与现行法律、法规的符合性</w:t>
      </w:r>
    </w:p>
    <w:p w14:paraId="591FCCBC">
      <w:pPr>
        <w:spacing w:line="560" w:lineRule="exact"/>
        <w:ind w:firstLine="640"/>
        <w:rPr>
          <w:rFonts w:ascii="仿宋_GB2312" w:hAnsi="宋体"/>
          <w:szCs w:val="28"/>
        </w:rPr>
      </w:pPr>
      <w:r>
        <w:rPr>
          <w:rFonts w:hint="eastAsia" w:ascii="仿宋_GB2312" w:hAnsi="宋体"/>
          <w:szCs w:val="28"/>
        </w:rPr>
        <w:t>本标准的制定严格遵循《中华人民共和国标准化法》及相关法律法规的要求，符合《团体标准管理规定》中关于团体标准制定程序、内容和质量的规定。标准内容与《食品安全法》、《产品质量法》等国家法律法规的指导思想和基本原则保持高度一致，旨在通过提供科学、规范、统一的检测方法，支撑相关法规的有效实施，为姜黄及其制品的质量监管、市场规范与产业发展提供技术依据，不存在任何与现行法律法规相冲突的内容。</w:t>
      </w:r>
    </w:p>
    <w:p w14:paraId="78ADDDD7">
      <w:pPr>
        <w:spacing w:line="560" w:lineRule="exact"/>
        <w:ind w:firstLine="640"/>
        <w:rPr>
          <w:rFonts w:ascii="仿宋_GB2312" w:hAnsi="宋体"/>
          <w:szCs w:val="28"/>
        </w:rPr>
      </w:pPr>
      <w:r>
        <w:rPr>
          <w:rFonts w:hint="eastAsia" w:ascii="仿宋_GB2312" w:hAnsi="宋体"/>
          <w:szCs w:val="28"/>
        </w:rPr>
        <w:t>2</w:t>
      </w:r>
      <w:r>
        <w:rPr>
          <w:rFonts w:hint="eastAsia" w:asciiTheme="minorHAnsi" w:hAnsiTheme="minorHAnsi"/>
          <w:szCs w:val="28"/>
        </w:rPr>
        <w:t>、</w:t>
      </w:r>
      <w:r>
        <w:rPr>
          <w:rFonts w:hint="eastAsia" w:ascii="仿宋_GB2312" w:hAnsi="宋体"/>
          <w:szCs w:val="28"/>
        </w:rPr>
        <w:t>与有关国家标准、行业标准的协调情况</w:t>
      </w:r>
    </w:p>
    <w:p w14:paraId="36FB0301">
      <w:pPr>
        <w:spacing w:line="560" w:lineRule="exact"/>
        <w:ind w:firstLine="640"/>
        <w:rPr>
          <w:rFonts w:ascii="仿宋_GB2312" w:hAnsi="宋体"/>
          <w:szCs w:val="28"/>
        </w:rPr>
      </w:pPr>
      <w:r>
        <w:rPr>
          <w:rFonts w:hint="eastAsia" w:ascii="仿宋_GB2312" w:hAnsi="宋体"/>
          <w:szCs w:val="28"/>
        </w:rPr>
        <w:t>在标准编制过程中，工作组系统分析了与姜黄素类化合物测定相关的现行有效的国家标准和行业标准，确保本标准与现有标准体系良好衔接、协调互补，并在此基础上明确了本标准的定位与特色。</w:t>
      </w:r>
    </w:p>
    <w:p w14:paraId="4BE7F45F">
      <w:pPr>
        <w:spacing w:line="560" w:lineRule="exact"/>
        <w:ind w:firstLine="640"/>
        <w:rPr>
          <w:rFonts w:ascii="仿宋_GB2312" w:hAnsi="宋体"/>
          <w:szCs w:val="28"/>
        </w:rPr>
      </w:pPr>
      <w:r>
        <w:rPr>
          <w:rFonts w:hint="eastAsia" w:ascii="仿宋_GB2312" w:hAnsi="宋体"/>
          <w:szCs w:val="28"/>
        </w:rPr>
        <w:t>（1）与基础通用标准的协调</w:t>
      </w:r>
    </w:p>
    <w:p w14:paraId="1845714D">
      <w:pPr>
        <w:spacing w:line="560" w:lineRule="exact"/>
        <w:ind w:firstLine="640"/>
        <w:rPr>
          <w:rFonts w:ascii="仿宋_GB2312" w:hAnsi="宋体"/>
          <w:szCs w:val="28"/>
        </w:rPr>
      </w:pPr>
      <w:r>
        <w:rPr>
          <w:rFonts w:hint="eastAsia" w:ascii="仿宋_GB2312" w:hAnsi="宋体"/>
          <w:szCs w:val="28"/>
        </w:rPr>
        <w:t>本标准方法严格遵循国家标准 GB/T 16631-2008 《高效液相色谱法通则》所确立的基本原则和通用技术要求。在仪器设备、色谱条件设置、系统适用性试验及分析步骤等方面，均与该基础标准保持一致，保证了方法本身的规范性与科学性。</w:t>
      </w:r>
    </w:p>
    <w:p w14:paraId="7C9769C7">
      <w:pPr>
        <w:spacing w:line="560" w:lineRule="exact"/>
        <w:ind w:firstLine="640"/>
        <w:rPr>
          <w:rFonts w:ascii="仿宋_GB2312" w:hAnsi="宋体"/>
          <w:szCs w:val="28"/>
        </w:rPr>
      </w:pPr>
      <w:r>
        <w:rPr>
          <w:rFonts w:hint="eastAsia" w:ascii="仿宋_GB2312" w:hAnsi="宋体"/>
          <w:szCs w:val="28"/>
        </w:rPr>
        <w:t>（2）</w:t>
      </w:r>
      <w:r>
        <w:rPr>
          <w:rFonts w:ascii="仿宋_GB2312" w:hAnsi="宋体"/>
          <w:szCs w:val="28"/>
        </w:rPr>
        <w:t>与现有同类标准的关系与定位</w:t>
      </w:r>
      <w:r>
        <w:rPr>
          <w:rFonts w:hint="eastAsia" w:ascii="仿宋_GB2312" w:hAnsi="宋体"/>
          <w:szCs w:val="28"/>
        </w:rPr>
        <w:t xml:space="preserve"> </w:t>
      </w:r>
    </w:p>
    <w:p w14:paraId="192C7251">
      <w:pPr>
        <w:spacing w:line="560" w:lineRule="exact"/>
        <w:ind w:firstLine="640"/>
        <w:rPr>
          <w:rFonts w:ascii="仿宋_GB2312" w:hAnsi="宋体"/>
          <w:szCs w:val="28"/>
        </w:rPr>
      </w:pPr>
      <w:r>
        <w:rPr>
          <w:rFonts w:ascii="仿宋_GB2312" w:hAnsi="宋体"/>
          <w:szCs w:val="28"/>
        </w:rPr>
        <w:t>经全面调研，现有标准体系中与姜黄素测定相关的标准主要有以下几项，本标准与它们的关系如表</w:t>
      </w:r>
      <w:r>
        <w:rPr>
          <w:rFonts w:hint="eastAsia" w:ascii="仿宋_GB2312" w:hAnsi="宋体"/>
          <w:szCs w:val="28"/>
        </w:rPr>
        <w:t>2</w:t>
      </w:r>
      <w:r>
        <w:rPr>
          <w:rFonts w:ascii="仿宋_GB2312" w:hAnsi="宋体"/>
          <w:szCs w:val="28"/>
        </w:rPr>
        <w:t>所示：</w:t>
      </w:r>
    </w:p>
    <w:p w14:paraId="5C350742">
      <w:pPr>
        <w:spacing w:line="560" w:lineRule="exact"/>
        <w:ind w:firstLine="0" w:firstLineChars="0"/>
        <w:jc w:val="center"/>
        <w:rPr>
          <w:rFonts w:ascii="仿宋_GB2312" w:hAnsi="宋体"/>
          <w:szCs w:val="28"/>
        </w:rPr>
      </w:pPr>
      <w:r>
        <w:rPr>
          <w:rFonts w:hint="eastAsia" w:eastAsia="黑体"/>
          <w:szCs w:val="32"/>
        </w:rPr>
        <w:t>表</w:t>
      </w:r>
      <w:r>
        <w:rPr>
          <w:rFonts w:eastAsia="黑体"/>
          <w:szCs w:val="32"/>
        </w:rPr>
        <w:t>2</w:t>
      </w:r>
      <w:r>
        <w:rPr>
          <w:rFonts w:hint="eastAsia" w:eastAsia="黑体"/>
          <w:szCs w:val="32"/>
        </w:rPr>
        <w:t>：现有标准体系与本标准的关系表</w:t>
      </w:r>
    </w:p>
    <w:tbl>
      <w:tblPr>
        <w:tblStyle w:val="9"/>
        <w:tblW w:w="9140" w:type="dxa"/>
        <w:jc w:val="center"/>
        <w:tblLayout w:type="autofit"/>
        <w:tblCellMar>
          <w:top w:w="0" w:type="dxa"/>
          <w:left w:w="108" w:type="dxa"/>
          <w:bottom w:w="0" w:type="dxa"/>
          <w:right w:w="108" w:type="dxa"/>
        </w:tblCellMar>
      </w:tblPr>
      <w:tblGrid>
        <w:gridCol w:w="2218"/>
        <w:gridCol w:w="1701"/>
        <w:gridCol w:w="5221"/>
      </w:tblGrid>
      <w:tr w14:paraId="465BBBC8">
        <w:tblPrEx>
          <w:tblCellMar>
            <w:top w:w="0" w:type="dxa"/>
            <w:left w:w="108" w:type="dxa"/>
            <w:bottom w:w="0" w:type="dxa"/>
            <w:right w:w="108" w:type="dxa"/>
          </w:tblCellMar>
        </w:tblPrEx>
        <w:trPr>
          <w:trHeight w:val="567" w:hRule="atLeast"/>
          <w:jc w:val="center"/>
        </w:trPr>
        <w:tc>
          <w:tcPr>
            <w:tcW w:w="2218" w:type="dxa"/>
            <w:tcBorders>
              <w:top w:val="single" w:color="auto" w:sz="4" w:space="0"/>
              <w:left w:val="single" w:color="auto" w:sz="4" w:space="0"/>
              <w:bottom w:val="single" w:color="auto" w:sz="4" w:space="0"/>
              <w:right w:val="single" w:color="auto" w:sz="4" w:space="0"/>
            </w:tcBorders>
            <w:shd w:val="clear" w:color="auto" w:fill="auto"/>
            <w:vAlign w:val="center"/>
          </w:tcPr>
          <w:p w14:paraId="7E5EDA6A">
            <w:pPr>
              <w:widowControl/>
              <w:snapToGrid w:val="0"/>
              <w:spacing w:line="440" w:lineRule="exact"/>
              <w:ind w:firstLine="0" w:firstLineChars="0"/>
              <w:jc w:val="center"/>
              <w:rPr>
                <w:rFonts w:ascii="宋体" w:hAnsi="宋体" w:eastAsia="宋体" w:cs="宋体"/>
                <w:b/>
                <w:kern w:val="0"/>
                <w:sz w:val="24"/>
              </w:rPr>
            </w:pPr>
            <w:r>
              <w:rPr>
                <w:rFonts w:hint="eastAsia" w:ascii="宋体" w:hAnsi="宋体" w:eastAsia="宋体" w:cs="宋体"/>
                <w:b/>
                <w:kern w:val="0"/>
                <w:sz w:val="24"/>
              </w:rPr>
              <w:t>标准号与名称</w:t>
            </w:r>
          </w:p>
        </w:tc>
        <w:tc>
          <w:tcPr>
            <w:tcW w:w="1701" w:type="dxa"/>
            <w:tcBorders>
              <w:top w:val="single" w:color="auto" w:sz="4" w:space="0"/>
              <w:left w:val="nil"/>
              <w:bottom w:val="single" w:color="auto" w:sz="4" w:space="0"/>
              <w:right w:val="single" w:color="auto" w:sz="4" w:space="0"/>
            </w:tcBorders>
            <w:shd w:val="clear" w:color="auto" w:fill="auto"/>
            <w:vAlign w:val="center"/>
          </w:tcPr>
          <w:p w14:paraId="4094C508">
            <w:pPr>
              <w:widowControl/>
              <w:snapToGrid w:val="0"/>
              <w:spacing w:line="440" w:lineRule="exact"/>
              <w:ind w:firstLine="0" w:firstLineChars="0"/>
              <w:jc w:val="center"/>
              <w:rPr>
                <w:rFonts w:ascii="宋体" w:hAnsi="宋体" w:eastAsia="宋体" w:cs="宋体"/>
                <w:b/>
                <w:kern w:val="0"/>
                <w:sz w:val="24"/>
              </w:rPr>
            </w:pPr>
            <w:r>
              <w:rPr>
                <w:rFonts w:hint="eastAsia" w:ascii="宋体" w:hAnsi="宋体" w:eastAsia="宋体" w:cs="宋体"/>
                <w:b/>
                <w:kern w:val="0"/>
                <w:sz w:val="24"/>
              </w:rPr>
              <w:t>适用范围</w:t>
            </w:r>
          </w:p>
        </w:tc>
        <w:tc>
          <w:tcPr>
            <w:tcW w:w="5221" w:type="dxa"/>
            <w:tcBorders>
              <w:top w:val="single" w:color="auto" w:sz="4" w:space="0"/>
              <w:left w:val="nil"/>
              <w:bottom w:val="single" w:color="auto" w:sz="4" w:space="0"/>
              <w:right w:val="single" w:color="auto" w:sz="4" w:space="0"/>
            </w:tcBorders>
            <w:shd w:val="clear" w:color="auto" w:fill="auto"/>
            <w:vAlign w:val="center"/>
          </w:tcPr>
          <w:p w14:paraId="22363070">
            <w:pPr>
              <w:widowControl/>
              <w:snapToGrid w:val="0"/>
              <w:spacing w:line="440" w:lineRule="exact"/>
              <w:ind w:firstLine="0" w:firstLineChars="0"/>
              <w:jc w:val="center"/>
              <w:rPr>
                <w:rFonts w:ascii="宋体" w:hAnsi="宋体" w:eastAsia="宋体" w:cs="宋体"/>
                <w:b/>
                <w:kern w:val="0"/>
                <w:sz w:val="24"/>
              </w:rPr>
            </w:pPr>
            <w:r>
              <w:rPr>
                <w:rFonts w:hint="eastAsia" w:ascii="宋体" w:hAnsi="宋体" w:eastAsia="宋体" w:cs="宋体"/>
                <w:b/>
                <w:kern w:val="0"/>
                <w:sz w:val="24"/>
              </w:rPr>
              <w:t>与本标准的关系</w:t>
            </w:r>
          </w:p>
        </w:tc>
      </w:tr>
      <w:tr w14:paraId="07B40D65">
        <w:tblPrEx>
          <w:tblCellMar>
            <w:top w:w="0" w:type="dxa"/>
            <w:left w:w="108" w:type="dxa"/>
            <w:bottom w:w="0" w:type="dxa"/>
            <w:right w:w="108" w:type="dxa"/>
          </w:tblCellMar>
        </w:tblPrEx>
        <w:trPr>
          <w:trHeight w:val="567" w:hRule="atLeast"/>
          <w:jc w:val="center"/>
        </w:trPr>
        <w:tc>
          <w:tcPr>
            <w:tcW w:w="2218" w:type="dxa"/>
            <w:tcBorders>
              <w:top w:val="nil"/>
              <w:left w:val="single" w:color="auto" w:sz="4" w:space="0"/>
              <w:bottom w:val="single" w:color="auto" w:sz="4" w:space="0"/>
              <w:right w:val="single" w:color="auto" w:sz="4" w:space="0"/>
            </w:tcBorders>
            <w:shd w:val="clear" w:color="auto" w:fill="auto"/>
            <w:vAlign w:val="center"/>
          </w:tcPr>
          <w:p w14:paraId="515149BE">
            <w:pPr>
              <w:widowControl/>
              <w:snapToGrid w:val="0"/>
              <w:spacing w:line="440" w:lineRule="exact"/>
              <w:ind w:firstLine="0" w:firstLineChars="0"/>
              <w:jc w:val="left"/>
              <w:rPr>
                <w:rFonts w:ascii="宋体" w:hAnsi="宋体" w:eastAsia="宋体" w:cs="宋体"/>
                <w:bCs/>
                <w:kern w:val="0"/>
                <w:sz w:val="24"/>
              </w:rPr>
            </w:pPr>
            <w:r>
              <w:rPr>
                <w:rFonts w:hint="eastAsia" w:ascii="宋体" w:hAnsi="宋体" w:eastAsia="宋体" w:cs="宋体"/>
                <w:bCs/>
                <w:kern w:val="0"/>
                <w:sz w:val="24"/>
              </w:rPr>
              <w:t>SN/T 4890-2017</w:t>
            </w:r>
            <w:r>
              <w:rPr>
                <w:rFonts w:hint="eastAsia" w:ascii="宋体" w:hAnsi="宋体" w:eastAsia="宋体" w:cs="宋体"/>
                <w:kern w:val="0"/>
                <w:sz w:val="24"/>
              </w:rPr>
              <w:t>《出口食品中姜黄素的测定 高效液相色谱法和液相色谱-质谱/质谱法》</w:t>
            </w:r>
          </w:p>
        </w:tc>
        <w:tc>
          <w:tcPr>
            <w:tcW w:w="1701" w:type="dxa"/>
            <w:tcBorders>
              <w:top w:val="nil"/>
              <w:left w:val="nil"/>
              <w:bottom w:val="single" w:color="auto" w:sz="4" w:space="0"/>
              <w:right w:val="single" w:color="auto" w:sz="4" w:space="0"/>
            </w:tcBorders>
            <w:shd w:val="clear" w:color="auto" w:fill="auto"/>
            <w:vAlign w:val="center"/>
          </w:tcPr>
          <w:p w14:paraId="71A675B4">
            <w:pPr>
              <w:widowControl/>
              <w:snapToGrid w:val="0"/>
              <w:spacing w:line="440" w:lineRule="exact"/>
              <w:ind w:firstLine="0" w:firstLineChars="0"/>
              <w:jc w:val="left"/>
              <w:rPr>
                <w:rFonts w:ascii="宋体" w:hAnsi="宋体" w:eastAsia="宋体" w:cs="宋体"/>
                <w:kern w:val="0"/>
                <w:sz w:val="24"/>
              </w:rPr>
            </w:pPr>
            <w:r>
              <w:rPr>
                <w:rFonts w:hint="eastAsia" w:ascii="宋体" w:hAnsi="宋体" w:eastAsia="宋体" w:cs="宋体"/>
                <w:kern w:val="0"/>
                <w:sz w:val="24"/>
              </w:rPr>
              <w:t>适用于</w:t>
            </w:r>
            <w:r>
              <w:rPr>
                <w:rFonts w:hint="eastAsia" w:ascii="宋体" w:hAnsi="宋体" w:eastAsia="宋体" w:cs="宋体"/>
                <w:bCs/>
                <w:kern w:val="0"/>
                <w:sz w:val="24"/>
              </w:rPr>
              <w:t>出口食品</w:t>
            </w:r>
            <w:r>
              <w:rPr>
                <w:rFonts w:hint="eastAsia" w:ascii="宋体" w:hAnsi="宋体" w:eastAsia="宋体" w:cs="宋体"/>
                <w:kern w:val="0"/>
                <w:sz w:val="24"/>
              </w:rPr>
              <w:t>中</w:t>
            </w:r>
            <w:r>
              <w:rPr>
                <w:rFonts w:hint="eastAsia" w:ascii="宋体" w:hAnsi="宋体" w:eastAsia="宋体" w:cs="宋体"/>
                <w:bCs/>
                <w:kern w:val="0"/>
                <w:sz w:val="24"/>
              </w:rPr>
              <w:t>姜黄素</w:t>
            </w:r>
            <w:r>
              <w:rPr>
                <w:rFonts w:hint="eastAsia" w:ascii="宋体" w:hAnsi="宋体" w:eastAsia="宋体" w:cs="宋体"/>
                <w:kern w:val="0"/>
                <w:sz w:val="24"/>
              </w:rPr>
              <w:t>的测定。</w:t>
            </w:r>
          </w:p>
        </w:tc>
        <w:tc>
          <w:tcPr>
            <w:tcW w:w="5221" w:type="dxa"/>
            <w:tcBorders>
              <w:top w:val="nil"/>
              <w:left w:val="nil"/>
              <w:bottom w:val="single" w:color="auto" w:sz="4" w:space="0"/>
              <w:right w:val="single" w:color="auto" w:sz="4" w:space="0"/>
            </w:tcBorders>
            <w:shd w:val="clear" w:color="auto" w:fill="auto"/>
            <w:vAlign w:val="center"/>
          </w:tcPr>
          <w:p w14:paraId="60E9EFB8">
            <w:pPr>
              <w:widowControl/>
              <w:snapToGrid w:val="0"/>
              <w:spacing w:line="440" w:lineRule="exact"/>
              <w:ind w:firstLine="0" w:firstLineChars="0"/>
              <w:jc w:val="left"/>
              <w:rPr>
                <w:rFonts w:ascii="宋体" w:hAnsi="宋体" w:eastAsia="宋体" w:cs="宋体"/>
                <w:bCs/>
                <w:kern w:val="0"/>
                <w:sz w:val="24"/>
              </w:rPr>
            </w:pPr>
            <w:r>
              <w:rPr>
                <w:rFonts w:hint="eastAsia" w:ascii="宋体" w:hAnsi="宋体" w:eastAsia="宋体" w:cs="宋体"/>
                <w:bCs/>
                <w:kern w:val="0"/>
                <w:sz w:val="24"/>
              </w:rPr>
              <w:t>互补与深化</w:t>
            </w:r>
            <w:r>
              <w:rPr>
                <w:rFonts w:hint="eastAsia" w:ascii="宋体" w:hAnsi="宋体" w:eastAsia="宋体" w:cs="宋体"/>
                <w:kern w:val="0"/>
                <w:sz w:val="24"/>
              </w:rPr>
              <w:t>：SN/T 4890-2017主要针对出口食品中的</w:t>
            </w:r>
            <w:r>
              <w:rPr>
                <w:rFonts w:hint="eastAsia" w:ascii="宋体" w:hAnsi="宋体" w:eastAsia="宋体" w:cs="宋体"/>
                <w:bCs/>
                <w:kern w:val="0"/>
                <w:sz w:val="24"/>
              </w:rPr>
              <w:t>姜黄素单体</w:t>
            </w:r>
            <w:r>
              <w:rPr>
                <w:rFonts w:hint="eastAsia" w:ascii="宋体" w:hAnsi="宋体" w:eastAsia="宋体" w:cs="宋体"/>
                <w:kern w:val="0"/>
                <w:sz w:val="24"/>
              </w:rPr>
              <w:t>。本标准则将适用范围扩展至</w:t>
            </w:r>
            <w:r>
              <w:rPr>
                <w:rFonts w:hint="eastAsia" w:ascii="宋体" w:hAnsi="宋体" w:eastAsia="宋体" w:cs="宋体"/>
                <w:bCs/>
                <w:kern w:val="0"/>
                <w:sz w:val="24"/>
              </w:rPr>
              <w:t>姜黄及其制品</w:t>
            </w:r>
            <w:r>
              <w:rPr>
                <w:rFonts w:hint="eastAsia" w:ascii="宋体" w:hAnsi="宋体" w:eastAsia="宋体" w:cs="宋体"/>
                <w:kern w:val="0"/>
                <w:sz w:val="24"/>
              </w:rPr>
              <w:t>（包括原料、初加工及深加工产品），并同时测定</w:t>
            </w:r>
            <w:r>
              <w:rPr>
                <w:rFonts w:hint="eastAsia" w:ascii="宋体" w:hAnsi="宋体" w:eastAsia="宋体" w:cs="宋体"/>
                <w:bCs/>
                <w:kern w:val="0"/>
                <w:sz w:val="24"/>
              </w:rPr>
              <w:t>姜黄素、去甲氧基姜黄素、双去甲氧基姜黄素</w:t>
            </w:r>
            <w:r>
              <w:rPr>
                <w:rFonts w:hint="eastAsia" w:ascii="宋体" w:hAnsi="宋体" w:eastAsia="宋体" w:cs="宋体"/>
                <w:kern w:val="0"/>
                <w:sz w:val="24"/>
              </w:rPr>
              <w:t>三种功效成分，提供了更全面的质量控制方案。</w:t>
            </w:r>
          </w:p>
        </w:tc>
      </w:tr>
      <w:tr w14:paraId="2A541D88">
        <w:tblPrEx>
          <w:tblCellMar>
            <w:top w:w="0" w:type="dxa"/>
            <w:left w:w="108" w:type="dxa"/>
            <w:bottom w:w="0" w:type="dxa"/>
            <w:right w:w="108" w:type="dxa"/>
          </w:tblCellMar>
        </w:tblPrEx>
        <w:trPr>
          <w:trHeight w:val="567" w:hRule="atLeast"/>
          <w:jc w:val="center"/>
        </w:trPr>
        <w:tc>
          <w:tcPr>
            <w:tcW w:w="2218" w:type="dxa"/>
            <w:tcBorders>
              <w:top w:val="nil"/>
              <w:left w:val="single" w:color="auto" w:sz="4" w:space="0"/>
              <w:bottom w:val="single" w:color="auto" w:sz="4" w:space="0"/>
              <w:right w:val="single" w:color="auto" w:sz="4" w:space="0"/>
            </w:tcBorders>
            <w:shd w:val="clear" w:color="auto" w:fill="auto"/>
            <w:vAlign w:val="center"/>
          </w:tcPr>
          <w:p w14:paraId="3B62571E">
            <w:pPr>
              <w:widowControl/>
              <w:snapToGrid w:val="0"/>
              <w:spacing w:line="440" w:lineRule="exact"/>
              <w:ind w:firstLine="0" w:firstLineChars="0"/>
              <w:jc w:val="left"/>
              <w:rPr>
                <w:rFonts w:ascii="宋体" w:hAnsi="宋体" w:eastAsia="宋体" w:cs="宋体"/>
                <w:bCs/>
                <w:kern w:val="0"/>
                <w:sz w:val="24"/>
              </w:rPr>
            </w:pPr>
            <w:r>
              <w:rPr>
                <w:rFonts w:hint="eastAsia" w:ascii="宋体" w:hAnsi="宋体" w:eastAsia="宋体" w:cs="宋体"/>
                <w:bCs/>
                <w:kern w:val="0"/>
                <w:sz w:val="24"/>
              </w:rPr>
              <w:t>T/SDTES 007-2023</w:t>
            </w:r>
            <w:r>
              <w:rPr>
                <w:rFonts w:hint="eastAsia" w:ascii="宋体" w:hAnsi="宋体" w:eastAsia="宋体" w:cs="宋体"/>
                <w:kern w:val="0"/>
                <w:sz w:val="24"/>
              </w:rPr>
              <w:t>《植物染料中姜黄素类化合物含量的测定 高效液相色谱法》</w:t>
            </w:r>
          </w:p>
        </w:tc>
        <w:tc>
          <w:tcPr>
            <w:tcW w:w="1701" w:type="dxa"/>
            <w:tcBorders>
              <w:top w:val="nil"/>
              <w:left w:val="nil"/>
              <w:bottom w:val="single" w:color="auto" w:sz="4" w:space="0"/>
              <w:right w:val="single" w:color="auto" w:sz="4" w:space="0"/>
            </w:tcBorders>
            <w:shd w:val="clear" w:color="auto" w:fill="auto"/>
            <w:vAlign w:val="center"/>
          </w:tcPr>
          <w:p w14:paraId="1ACB21C7">
            <w:pPr>
              <w:widowControl/>
              <w:snapToGrid w:val="0"/>
              <w:spacing w:line="440" w:lineRule="exact"/>
              <w:ind w:firstLine="0" w:firstLineChars="0"/>
              <w:jc w:val="left"/>
              <w:rPr>
                <w:rFonts w:ascii="宋体" w:hAnsi="宋体" w:eastAsia="宋体" w:cs="宋体"/>
                <w:kern w:val="0"/>
                <w:sz w:val="24"/>
              </w:rPr>
            </w:pPr>
            <w:r>
              <w:rPr>
                <w:rFonts w:hint="eastAsia" w:ascii="宋体" w:hAnsi="宋体" w:eastAsia="宋体" w:cs="宋体"/>
                <w:kern w:val="0"/>
                <w:sz w:val="24"/>
              </w:rPr>
              <w:t>适用于</w:t>
            </w:r>
            <w:r>
              <w:rPr>
                <w:rFonts w:hint="eastAsia" w:ascii="宋体" w:hAnsi="宋体" w:eastAsia="宋体" w:cs="宋体"/>
                <w:bCs/>
                <w:kern w:val="0"/>
                <w:sz w:val="24"/>
              </w:rPr>
              <w:t>植物染料</w:t>
            </w:r>
            <w:r>
              <w:rPr>
                <w:rFonts w:hint="eastAsia" w:ascii="宋体" w:hAnsi="宋体" w:eastAsia="宋体" w:cs="宋体"/>
                <w:kern w:val="0"/>
                <w:sz w:val="24"/>
              </w:rPr>
              <w:t>中三种姜黄素类化合物的测定。</w:t>
            </w:r>
          </w:p>
        </w:tc>
        <w:tc>
          <w:tcPr>
            <w:tcW w:w="5221" w:type="dxa"/>
            <w:tcBorders>
              <w:top w:val="nil"/>
              <w:left w:val="nil"/>
              <w:bottom w:val="single" w:color="auto" w:sz="4" w:space="0"/>
              <w:right w:val="single" w:color="auto" w:sz="4" w:space="0"/>
            </w:tcBorders>
            <w:shd w:val="clear" w:color="auto" w:fill="auto"/>
            <w:vAlign w:val="center"/>
          </w:tcPr>
          <w:p w14:paraId="20EF96D3">
            <w:pPr>
              <w:widowControl/>
              <w:snapToGrid w:val="0"/>
              <w:spacing w:line="440" w:lineRule="exact"/>
              <w:ind w:firstLine="0" w:firstLineChars="0"/>
              <w:jc w:val="left"/>
              <w:rPr>
                <w:rFonts w:ascii="宋体" w:hAnsi="宋体" w:eastAsia="宋体" w:cs="宋体"/>
                <w:bCs/>
                <w:kern w:val="0"/>
                <w:sz w:val="24"/>
              </w:rPr>
            </w:pPr>
            <w:r>
              <w:rPr>
                <w:rFonts w:hint="eastAsia" w:ascii="宋体" w:hAnsi="宋体" w:eastAsia="宋体" w:cs="宋体"/>
                <w:bCs/>
                <w:kern w:val="0"/>
                <w:sz w:val="24"/>
              </w:rPr>
              <w:t>互补关系</w:t>
            </w:r>
            <w:r>
              <w:rPr>
                <w:rFonts w:hint="eastAsia" w:ascii="宋体" w:hAnsi="宋体" w:eastAsia="宋体" w:cs="宋体"/>
                <w:kern w:val="0"/>
                <w:sz w:val="24"/>
              </w:rPr>
              <w:t>：T/SDTES 007-2023针对的是</w:t>
            </w:r>
            <w:r>
              <w:rPr>
                <w:rFonts w:hint="eastAsia" w:ascii="宋体" w:hAnsi="宋体" w:eastAsia="宋体" w:cs="宋体"/>
                <w:bCs/>
                <w:kern w:val="0"/>
                <w:sz w:val="24"/>
              </w:rPr>
              <w:t>纺织领域的植物染料</w:t>
            </w:r>
            <w:r>
              <w:rPr>
                <w:rFonts w:hint="eastAsia" w:ascii="宋体" w:hAnsi="宋体" w:eastAsia="宋体" w:cs="宋体"/>
                <w:kern w:val="0"/>
                <w:sz w:val="24"/>
              </w:rPr>
              <w:t>。本标准则专注于</w:t>
            </w:r>
            <w:r>
              <w:rPr>
                <w:rFonts w:hint="eastAsia" w:ascii="宋体" w:hAnsi="宋体" w:eastAsia="宋体" w:cs="宋体"/>
                <w:bCs/>
                <w:kern w:val="0"/>
                <w:sz w:val="24"/>
              </w:rPr>
              <w:t>食品、保健食品及相关制品</w:t>
            </w:r>
            <w:r>
              <w:rPr>
                <w:rFonts w:hint="eastAsia" w:ascii="宋体" w:hAnsi="宋体" w:eastAsia="宋体" w:cs="宋体"/>
                <w:kern w:val="0"/>
                <w:sz w:val="24"/>
              </w:rPr>
              <w:t>领域。两者应用领域不同，在样品前处理等技术细节上各有侧重，共同填补了不同行业对姜黄素类化合物检测的标准空白。</w:t>
            </w:r>
          </w:p>
        </w:tc>
      </w:tr>
      <w:tr w14:paraId="31CC688E">
        <w:tblPrEx>
          <w:tblCellMar>
            <w:top w:w="0" w:type="dxa"/>
            <w:left w:w="108" w:type="dxa"/>
            <w:bottom w:w="0" w:type="dxa"/>
            <w:right w:w="108" w:type="dxa"/>
          </w:tblCellMar>
        </w:tblPrEx>
        <w:trPr>
          <w:trHeight w:val="567" w:hRule="atLeast"/>
          <w:jc w:val="center"/>
        </w:trPr>
        <w:tc>
          <w:tcPr>
            <w:tcW w:w="2218" w:type="dxa"/>
            <w:tcBorders>
              <w:top w:val="nil"/>
              <w:left w:val="single" w:color="auto" w:sz="4" w:space="0"/>
              <w:bottom w:val="single" w:color="auto" w:sz="4" w:space="0"/>
              <w:right w:val="single" w:color="auto" w:sz="4" w:space="0"/>
            </w:tcBorders>
            <w:shd w:val="clear" w:color="auto" w:fill="auto"/>
            <w:vAlign w:val="center"/>
          </w:tcPr>
          <w:p w14:paraId="107FB781">
            <w:pPr>
              <w:widowControl/>
              <w:snapToGrid w:val="0"/>
              <w:spacing w:line="440" w:lineRule="exact"/>
              <w:ind w:firstLine="0" w:firstLineChars="0"/>
              <w:jc w:val="left"/>
              <w:rPr>
                <w:rFonts w:ascii="宋体" w:hAnsi="宋体" w:eastAsia="宋体" w:cs="宋体"/>
                <w:bCs/>
                <w:kern w:val="0"/>
                <w:sz w:val="24"/>
              </w:rPr>
            </w:pPr>
            <w:r>
              <w:rPr>
                <w:rFonts w:hint="eastAsia" w:ascii="宋体" w:hAnsi="宋体" w:eastAsia="宋体" w:cs="宋体"/>
                <w:bCs/>
                <w:kern w:val="0"/>
                <w:sz w:val="24"/>
              </w:rPr>
              <w:t>GB 1886.76-2015</w:t>
            </w:r>
            <w:r>
              <w:rPr>
                <w:rFonts w:hint="eastAsia" w:ascii="宋体" w:hAnsi="宋体" w:eastAsia="宋体" w:cs="宋体"/>
                <w:kern w:val="0"/>
                <w:sz w:val="24"/>
              </w:rPr>
              <w:t>《食品安全国家标准 食品添加剂 姜黄素》</w:t>
            </w:r>
          </w:p>
        </w:tc>
        <w:tc>
          <w:tcPr>
            <w:tcW w:w="1701" w:type="dxa"/>
            <w:tcBorders>
              <w:top w:val="nil"/>
              <w:left w:val="nil"/>
              <w:bottom w:val="single" w:color="auto" w:sz="4" w:space="0"/>
              <w:right w:val="single" w:color="auto" w:sz="4" w:space="0"/>
            </w:tcBorders>
            <w:shd w:val="clear" w:color="auto" w:fill="auto"/>
            <w:vAlign w:val="center"/>
          </w:tcPr>
          <w:p w14:paraId="4925E681">
            <w:pPr>
              <w:widowControl/>
              <w:snapToGrid w:val="0"/>
              <w:spacing w:line="440" w:lineRule="exact"/>
              <w:ind w:firstLine="0" w:firstLineChars="0"/>
              <w:jc w:val="left"/>
              <w:rPr>
                <w:rFonts w:ascii="宋体" w:hAnsi="宋体" w:eastAsia="宋体" w:cs="宋体"/>
                <w:kern w:val="0"/>
                <w:sz w:val="24"/>
              </w:rPr>
            </w:pPr>
            <w:r>
              <w:rPr>
                <w:rFonts w:hint="eastAsia" w:ascii="宋体" w:hAnsi="宋体" w:eastAsia="宋体" w:cs="宋体"/>
                <w:kern w:val="0"/>
                <w:sz w:val="24"/>
              </w:rPr>
              <w:t>规定了作为</w:t>
            </w:r>
            <w:r>
              <w:rPr>
                <w:rFonts w:hint="eastAsia" w:ascii="宋体" w:hAnsi="宋体" w:eastAsia="宋体" w:cs="宋体"/>
                <w:bCs/>
                <w:kern w:val="0"/>
                <w:sz w:val="24"/>
              </w:rPr>
              <w:t>食品添加剂</w:t>
            </w:r>
            <w:r>
              <w:rPr>
                <w:rFonts w:hint="eastAsia" w:ascii="宋体" w:hAnsi="宋体" w:eastAsia="宋体" w:cs="宋体"/>
                <w:kern w:val="0"/>
                <w:sz w:val="24"/>
              </w:rPr>
              <w:t>的姜黄素产品的质量要求。</w:t>
            </w:r>
          </w:p>
        </w:tc>
        <w:tc>
          <w:tcPr>
            <w:tcW w:w="5221" w:type="dxa"/>
            <w:tcBorders>
              <w:top w:val="nil"/>
              <w:left w:val="nil"/>
              <w:bottom w:val="single" w:color="auto" w:sz="4" w:space="0"/>
              <w:right w:val="single" w:color="auto" w:sz="4" w:space="0"/>
            </w:tcBorders>
            <w:shd w:val="clear" w:color="auto" w:fill="auto"/>
            <w:vAlign w:val="center"/>
          </w:tcPr>
          <w:p w14:paraId="3BE47DA2">
            <w:pPr>
              <w:widowControl/>
              <w:snapToGrid w:val="0"/>
              <w:spacing w:line="440" w:lineRule="exact"/>
              <w:ind w:firstLine="0" w:firstLineChars="0"/>
              <w:jc w:val="left"/>
              <w:rPr>
                <w:rFonts w:ascii="宋体" w:hAnsi="宋体" w:eastAsia="宋体" w:cs="宋体"/>
                <w:bCs/>
                <w:kern w:val="0"/>
                <w:sz w:val="24"/>
              </w:rPr>
            </w:pPr>
            <w:r>
              <w:rPr>
                <w:rFonts w:hint="eastAsia" w:ascii="宋体" w:hAnsi="宋体" w:eastAsia="宋体" w:cs="宋体"/>
                <w:bCs/>
                <w:kern w:val="0"/>
                <w:sz w:val="24"/>
              </w:rPr>
              <w:t>支撑与配套</w:t>
            </w:r>
            <w:r>
              <w:rPr>
                <w:rFonts w:hint="eastAsia" w:ascii="宋体" w:hAnsi="宋体" w:eastAsia="宋体" w:cs="宋体"/>
                <w:kern w:val="0"/>
                <w:sz w:val="24"/>
              </w:rPr>
              <w:t>：GB 1886.76-2015是产品标准。本标准是方法标准，可为该产品标准中含量指标的测定提供一种更为详尽和与时俱进的检测方法选择，两者相互支撑。</w:t>
            </w:r>
          </w:p>
        </w:tc>
      </w:tr>
    </w:tbl>
    <w:p w14:paraId="0B51EF7C">
      <w:pPr>
        <w:spacing w:line="560" w:lineRule="exact"/>
        <w:ind w:firstLine="640"/>
        <w:rPr>
          <w:rFonts w:ascii="仿宋_GB2312" w:hAnsi="宋体"/>
          <w:szCs w:val="28"/>
        </w:rPr>
      </w:pPr>
      <w:r>
        <w:rPr>
          <w:rFonts w:ascii="仿宋_GB2312" w:hAnsi="宋体"/>
          <w:szCs w:val="28"/>
        </w:rPr>
        <w:t>通过以上对比分析可见，本标准与现行国家标准、行业标准及团体标准不存在交叉、重复或矛盾之处。相反，本标准针对姜黄产业链条长、制品形态多样的特点，着力解决了现有标准适用范围相对单一、检测指标不够全面的问题。</w:t>
      </w:r>
    </w:p>
    <w:p w14:paraId="29D3AE0A">
      <w:pPr>
        <w:spacing w:line="560" w:lineRule="exact"/>
        <w:ind w:firstLine="640"/>
        <w:rPr>
          <w:rFonts w:ascii="仿宋_GB2312" w:hAnsi="宋体"/>
          <w:szCs w:val="28"/>
        </w:rPr>
      </w:pPr>
      <w:r>
        <w:rPr>
          <w:rFonts w:hint="eastAsia" w:ascii="仿宋_GB2312" w:hAnsi="宋体"/>
          <w:szCs w:val="28"/>
        </w:rPr>
        <w:t>（3）本标准的差异性定位与创新价值</w:t>
      </w:r>
    </w:p>
    <w:p w14:paraId="0DA4A6AD">
      <w:pPr>
        <w:spacing w:line="560" w:lineRule="exact"/>
        <w:ind w:firstLine="640"/>
        <w:rPr>
          <w:rFonts w:ascii="仿宋_GB2312" w:hAnsi="宋体"/>
          <w:szCs w:val="28"/>
        </w:rPr>
      </w:pPr>
      <w:r>
        <w:rPr>
          <w:rFonts w:hint="eastAsia" w:ascii="仿宋_GB2312" w:hAnsi="宋体"/>
          <w:szCs w:val="28"/>
        </w:rPr>
        <w:t>本标准的创新价值和差异性主要体现在：</w:t>
      </w:r>
    </w:p>
    <w:p w14:paraId="5FD94C88">
      <w:pPr>
        <w:spacing w:line="560" w:lineRule="exact"/>
        <w:ind w:firstLine="640"/>
        <w:rPr>
          <w:rFonts w:ascii="仿宋_GB2312" w:hAnsi="宋体"/>
          <w:szCs w:val="28"/>
        </w:rPr>
      </w:pPr>
      <w:r>
        <w:rPr>
          <w:rFonts w:hint="eastAsia" w:ascii="仿宋_GB2312" w:hAnsi="宋体"/>
          <w:szCs w:val="28"/>
        </w:rPr>
        <w:t>适用范围更广：突破了现有标准多局限于单一品类（如出口食品、植物染料或食品添加剂）的现状，覆盖了从姜黄原料到各类制品的全链条质量管控需求。</w:t>
      </w:r>
    </w:p>
    <w:p w14:paraId="3EC93049">
      <w:pPr>
        <w:spacing w:line="560" w:lineRule="exact"/>
        <w:ind w:firstLine="640"/>
        <w:rPr>
          <w:rFonts w:ascii="仿宋_GB2312" w:hAnsi="宋体"/>
          <w:szCs w:val="28"/>
        </w:rPr>
      </w:pPr>
      <w:r>
        <w:rPr>
          <w:rFonts w:hint="eastAsia" w:ascii="仿宋_GB2312" w:hAnsi="宋体"/>
          <w:szCs w:val="28"/>
        </w:rPr>
        <w:t>检测指标更全：首次在团体标准层面同时测定姜黄素、去甲氧基姜黄素和双去甲氧基姜黄素三种关键活性成分，更能科学评价姜黄及其制品的内在质量。</w:t>
      </w:r>
    </w:p>
    <w:p w14:paraId="434CE070">
      <w:pPr>
        <w:spacing w:line="560" w:lineRule="exact"/>
        <w:ind w:firstLine="640"/>
        <w:rPr>
          <w:rFonts w:ascii="仿宋_GB2312" w:hAnsi="宋体"/>
          <w:szCs w:val="28"/>
        </w:rPr>
      </w:pPr>
      <w:r>
        <w:rPr>
          <w:rFonts w:hint="eastAsia" w:ascii="仿宋_GB2312" w:hAnsi="宋体"/>
          <w:szCs w:val="28"/>
        </w:rPr>
        <w:t>技术细节优化：在继承现有标准方法优点的基础上，结合姜黄制品的特点，对样品前处理、色谱分离条件等进行了优化和验证，提升了方法的适用性、准确性与重复性。</w:t>
      </w:r>
    </w:p>
    <w:p w14:paraId="687294E1">
      <w:pPr>
        <w:spacing w:line="560" w:lineRule="exact"/>
        <w:ind w:firstLine="640"/>
        <w:rPr>
          <w:rFonts w:ascii="仿宋_GB2312" w:hAnsi="宋体"/>
          <w:szCs w:val="28"/>
        </w:rPr>
      </w:pPr>
      <w:r>
        <w:rPr>
          <w:rFonts w:hint="eastAsia" w:ascii="仿宋_GB2312" w:hAnsi="宋体"/>
          <w:szCs w:val="28"/>
        </w:rPr>
        <w:t>综上所述，本标准与现行法律法规及标准体系协调一致，并在此基础上进行了合理的补充、细化和创新，能够有效满足市场和行业对姜黄及其制品质量检测的迫切需求，是对现有标准体系的有益补充和完善。</w:t>
      </w:r>
    </w:p>
    <w:p w14:paraId="7BB36321">
      <w:pPr>
        <w:autoSpaceDE w:val="0"/>
        <w:autoSpaceDN w:val="0"/>
        <w:adjustRightInd w:val="0"/>
        <w:spacing w:line="560" w:lineRule="exact"/>
        <w:ind w:firstLine="640"/>
        <w:jc w:val="left"/>
        <w:rPr>
          <w:rFonts w:ascii="黑体" w:hAnsi="黑体" w:eastAsia="黑体" w:cs="仿宋_GB2312"/>
          <w:szCs w:val="32"/>
        </w:rPr>
      </w:pPr>
      <w:bookmarkStart w:id="1" w:name="_Toc526940084"/>
      <w:r>
        <w:rPr>
          <w:rFonts w:hint="eastAsia" w:ascii="黑体" w:hAnsi="黑体" w:eastAsia="黑体" w:cs="仿宋_GB2312"/>
          <w:szCs w:val="32"/>
        </w:rPr>
        <w:t>五、</w:t>
      </w:r>
      <w:bookmarkEnd w:id="1"/>
      <w:r>
        <w:rPr>
          <w:rFonts w:hint="eastAsia" w:ascii="黑体" w:hAnsi="黑体" w:eastAsia="黑体" w:cs="仿宋_GB2312"/>
          <w:szCs w:val="32"/>
        </w:rPr>
        <w:t>主要条款的说明</w:t>
      </w:r>
    </w:p>
    <w:p w14:paraId="572E60B3">
      <w:pPr>
        <w:ind w:firstLine="640"/>
        <w:rPr>
          <w:rFonts w:ascii="仿宋_GB2312" w:hAnsi="宋体"/>
          <w:szCs w:val="32"/>
          <w:lang w:val="zh-CN"/>
        </w:rPr>
      </w:pPr>
      <w:r>
        <w:rPr>
          <w:rFonts w:hint="eastAsia" w:ascii="仿宋_GB2312" w:hAnsi="宋体"/>
          <w:szCs w:val="32"/>
          <w:lang w:val="zh-CN"/>
        </w:rPr>
        <w:t>团体标准《</w:t>
      </w:r>
      <w:r>
        <w:rPr>
          <w:rFonts w:hint="eastAsia" w:ascii="仿宋_GB2312" w:hAnsi="宋体"/>
          <w:szCs w:val="32"/>
        </w:rPr>
        <w:t>姜黄及其制品中姜黄素、去甲氧基姜黄素和双去甲氧基姜黄素含量的测定 高效液相色谱法</w:t>
      </w:r>
      <w:r>
        <w:rPr>
          <w:rFonts w:hint="eastAsia" w:ascii="仿宋_GB2312" w:hAnsi="宋体"/>
          <w:szCs w:val="32"/>
          <w:lang w:val="zh-CN"/>
        </w:rPr>
        <w:t>》的主要章节内容</w:t>
      </w:r>
      <w:r>
        <w:rPr>
          <w:rFonts w:hint="eastAsia" w:ascii="仿宋_GB2312" w:hAnsi="宋体"/>
          <w:color w:val="000000" w:themeColor="text1"/>
          <w:szCs w:val="32"/>
          <w:lang w:val="zh-CN"/>
          <w14:textFill>
            <w14:solidFill>
              <w14:schemeClr w14:val="tx1"/>
            </w14:solidFill>
          </w14:textFill>
        </w:rPr>
        <w:t>包括：范围、规范性引用文件、术语和定义、原理、试剂和材料、仪器和设备、分析步骤、分析结果的</w:t>
      </w:r>
      <w:r>
        <w:rPr>
          <w:rFonts w:ascii="仿宋_GB2312" w:hAnsi="宋体"/>
          <w:color w:val="000000" w:themeColor="text1"/>
          <w:szCs w:val="32"/>
          <w:lang w:val="zh-CN"/>
          <w14:textFill>
            <w14:solidFill>
              <w14:schemeClr w14:val="tx1"/>
            </w14:solidFill>
          </w14:textFill>
        </w:rPr>
        <w:t>表述</w:t>
      </w:r>
      <w:r>
        <w:rPr>
          <w:rFonts w:hint="eastAsia" w:ascii="仿宋_GB2312" w:hAnsi="宋体"/>
          <w:color w:val="000000" w:themeColor="text1"/>
          <w:szCs w:val="32"/>
          <w:lang w:val="zh-CN"/>
          <w14:textFill>
            <w14:solidFill>
              <w14:schemeClr w14:val="tx1"/>
            </w14:solidFill>
          </w14:textFill>
        </w:rPr>
        <w:t>、精密度、其他。本文</w:t>
      </w:r>
      <w:r>
        <w:rPr>
          <w:rFonts w:hint="eastAsia" w:ascii="仿宋_GB2312" w:hAnsi="宋体"/>
          <w:szCs w:val="32"/>
          <w:lang w:val="zh-CN"/>
        </w:rPr>
        <w:t>件主要内容及依据来源说明如下：</w:t>
      </w:r>
    </w:p>
    <w:p w14:paraId="51845CDA">
      <w:pPr>
        <w:autoSpaceDE w:val="0"/>
        <w:autoSpaceDN w:val="0"/>
        <w:adjustRightInd w:val="0"/>
        <w:spacing w:line="560" w:lineRule="exact"/>
        <w:ind w:firstLine="640"/>
        <w:rPr>
          <w:rFonts w:ascii="楷体_GB2312" w:hAnsi="宋体" w:eastAsia="楷体_GB2312"/>
          <w:szCs w:val="28"/>
        </w:rPr>
      </w:pPr>
      <w:r>
        <w:rPr>
          <w:rFonts w:hint="eastAsia" w:ascii="楷体_GB2312" w:hAnsi="宋体" w:eastAsia="楷体_GB2312"/>
          <w:szCs w:val="28"/>
        </w:rPr>
        <w:t>（一）原理</w:t>
      </w:r>
    </w:p>
    <w:p w14:paraId="5FEF4181">
      <w:pPr>
        <w:ind w:firstLine="640"/>
        <w:rPr>
          <w:rFonts w:ascii="仿宋_GB2312" w:hAnsi="宋体"/>
          <w:szCs w:val="32"/>
          <w:lang w:val="zh-CN"/>
        </w:rPr>
      </w:pPr>
      <w:r>
        <w:rPr>
          <w:rFonts w:hint="eastAsia" w:ascii="仿宋_GB2312" w:hAnsi="宋体"/>
          <w:szCs w:val="32"/>
          <w:lang w:val="zh-CN"/>
        </w:rPr>
        <w:t>试样中的姜黄素、去甲氧基姜黄素和双去甲氧基姜黄素经70%乙醇超声提取，经高效液相色谱仪分离、检测。以色谱峰的保留时间定性，外标法定量。</w:t>
      </w:r>
    </w:p>
    <w:p w14:paraId="46EDF8D1">
      <w:pPr>
        <w:autoSpaceDE w:val="0"/>
        <w:autoSpaceDN w:val="0"/>
        <w:adjustRightInd w:val="0"/>
        <w:spacing w:line="560" w:lineRule="exact"/>
        <w:ind w:firstLine="640"/>
        <w:rPr>
          <w:rFonts w:ascii="楷体_GB2312" w:hAnsi="宋体" w:eastAsia="楷体_GB2312"/>
          <w:szCs w:val="28"/>
        </w:rPr>
      </w:pPr>
      <w:r>
        <w:rPr>
          <w:rFonts w:hint="eastAsia" w:ascii="楷体_GB2312" w:hAnsi="宋体" w:eastAsia="楷体_GB2312"/>
          <w:szCs w:val="28"/>
        </w:rPr>
        <w:t>（二）试剂和材料</w:t>
      </w:r>
    </w:p>
    <w:p w14:paraId="53827EED">
      <w:pPr>
        <w:ind w:firstLine="640"/>
        <w:rPr>
          <w:rFonts w:ascii="仿宋_GB2312" w:hAnsi="宋体"/>
          <w:szCs w:val="32"/>
          <w:lang w:val="zh-CN"/>
        </w:rPr>
      </w:pPr>
      <w:r>
        <w:rPr>
          <w:rFonts w:hint="eastAsia" w:ascii="仿宋_GB2312" w:hAnsi="宋体"/>
          <w:szCs w:val="32"/>
          <w:lang w:val="zh-CN"/>
        </w:rPr>
        <w:t>1、标准溶液的配制</w:t>
      </w:r>
    </w:p>
    <w:p w14:paraId="2A702759">
      <w:pPr>
        <w:ind w:firstLine="640"/>
        <w:rPr>
          <w:rFonts w:ascii="仿宋_GB2312" w:hAnsi="宋体"/>
          <w:szCs w:val="32"/>
          <w:lang w:val="zh-CN"/>
        </w:rPr>
      </w:pPr>
      <w:r>
        <w:rPr>
          <w:rFonts w:hint="eastAsia" w:ascii="仿宋_GB2312" w:hAnsi="宋体"/>
          <w:szCs w:val="32"/>
          <w:lang w:val="zh-CN"/>
        </w:rPr>
        <w:t>（1）姜黄素（以下简称CurⅠ）标准储备溶液（1000 mg/L）：准确称取CurⅠ标准物质20mg，用甲醇溶解并定容至20mL，于4℃贮存，保存期为6个月。</w:t>
      </w:r>
    </w:p>
    <w:p w14:paraId="5047E3F2">
      <w:pPr>
        <w:ind w:firstLine="640"/>
        <w:rPr>
          <w:rFonts w:ascii="仿宋_GB2312" w:hAnsi="宋体"/>
          <w:szCs w:val="32"/>
          <w:lang w:val="zh-CN"/>
        </w:rPr>
      </w:pPr>
      <w:r>
        <w:rPr>
          <w:rFonts w:hint="eastAsia" w:ascii="仿宋_GB2312" w:hAnsi="宋体"/>
          <w:szCs w:val="32"/>
          <w:lang w:val="zh-CN"/>
        </w:rPr>
        <w:t>去甲氧基姜黄素（以下简称CurⅡ）标准储备溶液（1000 mg/L）：准确称取CurⅡ标准物质20mg，用甲醇溶解并定容至20mL，于4℃贮存，保存期为6个月。</w:t>
      </w:r>
    </w:p>
    <w:p w14:paraId="5289B4F1">
      <w:pPr>
        <w:ind w:firstLine="640"/>
        <w:rPr>
          <w:rFonts w:ascii="仿宋_GB2312" w:hAnsi="宋体"/>
          <w:szCs w:val="32"/>
          <w:lang w:val="zh-CN"/>
        </w:rPr>
      </w:pPr>
      <w:r>
        <w:rPr>
          <w:rFonts w:hint="eastAsia" w:ascii="仿宋_GB2312" w:hAnsi="宋体"/>
          <w:szCs w:val="32"/>
          <w:lang w:val="zh-CN"/>
        </w:rPr>
        <w:t>双去氧基姜黄素（以下简称CurⅢ）标准储备溶液（1000 mg/L）：准确称取CurⅢ标准物质20mg，用甲醇溶解并定容至20mL，于4℃贮存，保存期为6个月。</w:t>
      </w:r>
    </w:p>
    <w:p w14:paraId="09DF46DF">
      <w:pPr>
        <w:ind w:firstLine="640"/>
        <w:rPr>
          <w:rFonts w:ascii="仿宋_GB2312" w:hAnsi="宋体"/>
          <w:szCs w:val="32"/>
          <w:lang w:val="zh-CN"/>
        </w:rPr>
      </w:pPr>
      <w:r>
        <w:rPr>
          <w:rFonts w:hint="eastAsia" w:ascii="仿宋_GB2312" w:hAnsi="宋体"/>
          <w:szCs w:val="32"/>
          <w:lang w:val="zh-CN"/>
        </w:rPr>
        <w:t>所用CurⅠ、CurⅡ、CurⅢ标准物质的纯度应不低于95.0%，或为经国家认证并具有标准物质证书的法定标准物质。</w:t>
      </w:r>
    </w:p>
    <w:p w14:paraId="27657463">
      <w:pPr>
        <w:ind w:firstLine="640"/>
        <w:rPr>
          <w:rFonts w:ascii="仿宋_GB2312" w:hAnsi="宋体"/>
          <w:szCs w:val="32"/>
          <w:lang w:val="zh-CN"/>
        </w:rPr>
      </w:pPr>
      <w:r>
        <w:rPr>
          <w:rFonts w:hint="eastAsia" w:ascii="仿宋_GB2312" w:hAnsi="宋体"/>
          <w:szCs w:val="32"/>
          <w:lang w:val="zh-CN"/>
        </w:rPr>
        <w:t>（2）CurⅠ、CurⅡ、CurⅢ混合标准中间溶液（100 mg/L）：分别准确吸取CurⅠ、CurⅡ、CurⅢ标准储备液各5.0 mL于50mL容量瓶中，用甲醇定容。于4℃贮存，保存期为3个月。</w:t>
      </w:r>
    </w:p>
    <w:p w14:paraId="0586CAED">
      <w:pPr>
        <w:ind w:firstLine="640"/>
        <w:rPr>
          <w:rFonts w:ascii="仿宋_GB2312" w:hAnsi="宋体"/>
          <w:szCs w:val="32"/>
          <w:lang w:val="zh-CN"/>
        </w:rPr>
      </w:pPr>
      <w:r>
        <w:rPr>
          <w:rFonts w:hint="eastAsia" w:ascii="仿宋_GB2312" w:hAnsi="宋体"/>
          <w:szCs w:val="32"/>
          <w:lang w:val="zh-CN"/>
        </w:rPr>
        <w:t>（3）CurⅠ、CurⅡ、CurⅢ混合标准系列工作溶液：分别准确吸取CurⅠ、CurⅡ、CurⅢ混合标准中间溶液各0 mL、0.1mL、0.2 mL、0.5mL、1.0 mL、2.0 mL、3.0 mL于50mL容量瓶中，用甲醇定容至10 mL，配制成质量浓度分别为0 mg/L、1 mg/L、2 mg/L、5 mg/L、10 mg/L、20 mg/L、30 mg/L的混合标准系列工作液。临用现配。</w:t>
      </w:r>
    </w:p>
    <w:p w14:paraId="32D51604">
      <w:pPr>
        <w:ind w:firstLine="640"/>
        <w:rPr>
          <w:rFonts w:ascii="仿宋_GB2312" w:hAnsi="宋体"/>
          <w:szCs w:val="32"/>
          <w:lang w:val="zh-CN"/>
        </w:rPr>
      </w:pPr>
      <w:r>
        <w:rPr>
          <w:rFonts w:hint="eastAsia" w:ascii="仿宋_GB2312" w:hAnsi="宋体"/>
          <w:szCs w:val="32"/>
          <w:lang w:val="zh-CN"/>
        </w:rPr>
        <w:t>为保障标准曲线的准确性与线性范围，应至少包含5个以上浓度点。实际配制时可根据仪器响应情况及检测要求，对浓度梯度作适当调整。</w:t>
      </w:r>
    </w:p>
    <w:p w14:paraId="4533B870">
      <w:pPr>
        <w:autoSpaceDE w:val="0"/>
        <w:autoSpaceDN w:val="0"/>
        <w:adjustRightInd w:val="0"/>
        <w:spacing w:line="560" w:lineRule="exact"/>
        <w:ind w:firstLine="640"/>
        <w:rPr>
          <w:rFonts w:ascii="楷体_GB2312" w:hAnsi="宋体" w:eastAsia="楷体_GB2312"/>
          <w:szCs w:val="28"/>
        </w:rPr>
      </w:pPr>
      <w:bookmarkStart w:id="2" w:name="_Toc526940086"/>
      <w:r>
        <w:rPr>
          <w:rFonts w:hint="eastAsia" w:ascii="楷体_GB2312" w:hAnsi="宋体" w:eastAsia="楷体_GB2312"/>
          <w:szCs w:val="28"/>
        </w:rPr>
        <w:t>（三）分析步骤</w:t>
      </w:r>
    </w:p>
    <w:p w14:paraId="7DE232A3">
      <w:pPr>
        <w:pStyle w:val="33"/>
        <w:numPr>
          <w:ilvl w:val="0"/>
          <w:numId w:val="10"/>
        </w:numPr>
        <w:autoSpaceDE w:val="0"/>
        <w:autoSpaceDN w:val="0"/>
        <w:adjustRightInd w:val="0"/>
        <w:spacing w:line="560" w:lineRule="exact"/>
        <w:ind w:firstLineChars="0"/>
        <w:jc w:val="left"/>
        <w:rPr>
          <w:rFonts w:ascii="仿宋_GB2312" w:hAnsi="宋体"/>
          <w:color w:val="FF0000"/>
          <w:szCs w:val="32"/>
        </w:rPr>
      </w:pPr>
      <w:r>
        <w:rPr>
          <w:rFonts w:hint="eastAsia" w:ascii="仿宋_GB2312" w:hAnsi="宋体"/>
          <w:color w:val="FF0000"/>
          <w:szCs w:val="32"/>
        </w:rPr>
        <w:t>试样溶液制备方法的确定依据</w:t>
      </w:r>
    </w:p>
    <w:p w14:paraId="2967116D">
      <w:pPr>
        <w:autoSpaceDE w:val="0"/>
        <w:autoSpaceDN w:val="0"/>
        <w:adjustRightInd w:val="0"/>
        <w:spacing w:line="560" w:lineRule="exact"/>
        <w:ind w:firstLine="640"/>
        <w:jc w:val="left"/>
        <w:rPr>
          <w:rFonts w:ascii="仿宋_GB2312" w:hAnsi="宋体"/>
          <w:color w:val="FF0000"/>
          <w:szCs w:val="32"/>
        </w:rPr>
      </w:pPr>
      <w:r>
        <w:rPr>
          <w:rFonts w:hint="eastAsia" w:ascii="仿宋_GB2312" w:hAnsi="宋体"/>
          <w:color w:val="FF0000"/>
          <w:szCs w:val="32"/>
        </w:rPr>
        <w:t xml:space="preserve">试样溶液制备是保证检测结果准确性与重现性的关键环节。为确保姜黄素、去甲氧基姜黄素和双去甲氧基姜黄素能被高效、稳定地提取，本标准系统性地对提取方法、提取溶剂、溶剂体积分数及提取时间等关键参数进行了优化与筛选，具体依据如下： </w:t>
      </w:r>
    </w:p>
    <w:p w14:paraId="3436B4B7">
      <w:pPr>
        <w:autoSpaceDE w:val="0"/>
        <w:autoSpaceDN w:val="0"/>
        <w:adjustRightInd w:val="0"/>
        <w:spacing w:line="560" w:lineRule="exact"/>
        <w:ind w:firstLine="640"/>
        <w:jc w:val="left"/>
        <w:rPr>
          <w:rFonts w:ascii="仿宋_GB2312" w:hAnsi="宋体"/>
          <w:color w:val="FF0000"/>
          <w:szCs w:val="32"/>
        </w:rPr>
      </w:pPr>
      <w:r>
        <w:rPr>
          <w:rFonts w:hint="eastAsia" w:ascii="仿宋_GB2312" w:hAnsi="宋体"/>
          <w:color w:val="FF0000"/>
          <w:szCs w:val="32"/>
        </w:rPr>
        <w:t>（1）提取方法的选择</w:t>
      </w:r>
    </w:p>
    <w:p w14:paraId="4B2EC71F">
      <w:pPr>
        <w:autoSpaceDE w:val="0"/>
        <w:autoSpaceDN w:val="0"/>
        <w:adjustRightInd w:val="0"/>
        <w:spacing w:line="560" w:lineRule="exact"/>
        <w:ind w:firstLine="640"/>
        <w:jc w:val="left"/>
        <w:rPr>
          <w:rFonts w:ascii="仿宋_GB2312" w:hAnsi="宋体"/>
          <w:color w:val="FF0000"/>
          <w:szCs w:val="32"/>
        </w:rPr>
      </w:pPr>
      <w:r>
        <w:rPr>
          <w:rFonts w:hint="eastAsia" w:ascii="仿宋_GB2312" w:hAnsi="宋体"/>
          <w:color w:val="FF0000"/>
          <w:szCs w:val="32"/>
        </w:rPr>
        <w:t>通过对水浴加热回流和超声提取二种常用提取方法的平行比较，结果如图</w:t>
      </w:r>
      <w:r>
        <w:rPr>
          <w:rFonts w:ascii="仿宋_GB2312" w:hAnsi="宋体"/>
          <w:color w:val="FF0000"/>
          <w:szCs w:val="32"/>
        </w:rPr>
        <w:t>1</w:t>
      </w:r>
      <w:r>
        <w:rPr>
          <w:rFonts w:hint="eastAsia" w:ascii="仿宋_GB2312" w:hAnsi="宋体"/>
          <w:color w:val="FF0000"/>
          <w:szCs w:val="32"/>
        </w:rPr>
        <w:t>所示，超声提取法在目标成分的提取效率、操作便捷性及结果稳定性方面表现最优，提取更为完全，故确定超声为本标准的最佳提取方式。</w:t>
      </w:r>
    </w:p>
    <w:p w14:paraId="2BA70F66">
      <w:pPr>
        <w:pStyle w:val="2"/>
        <w:jc w:val="center"/>
      </w:pPr>
      <w:r>
        <w:drawing>
          <wp:inline distT="0" distB="0" distL="114300" distR="114300">
            <wp:extent cx="5083175" cy="2162810"/>
            <wp:effectExtent l="0" t="0" r="3175" b="8890"/>
            <wp:docPr id="7"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36657C96">
      <w:pPr>
        <w:autoSpaceDE w:val="0"/>
        <w:autoSpaceDN w:val="0"/>
        <w:adjustRightInd w:val="0"/>
        <w:spacing w:line="560" w:lineRule="exact"/>
        <w:ind w:firstLine="640"/>
        <w:jc w:val="center"/>
        <w:rPr>
          <w:rFonts w:ascii="仿宋_GB2312" w:hAnsi="宋体"/>
          <w:color w:val="000000" w:themeColor="text1"/>
          <w:szCs w:val="32"/>
          <w14:textFill>
            <w14:solidFill>
              <w14:schemeClr w14:val="tx1"/>
            </w14:solidFill>
          </w14:textFill>
        </w:rPr>
      </w:pPr>
      <w:r>
        <w:rPr>
          <w:rFonts w:hint="eastAsia" w:eastAsia="黑体"/>
          <w:szCs w:val="32"/>
        </w:rPr>
        <w:t>图1</w:t>
      </w:r>
      <w:r>
        <w:rPr>
          <w:rFonts w:eastAsia="黑体"/>
          <w:szCs w:val="32"/>
        </w:rPr>
        <w:t xml:space="preserve"> </w:t>
      </w:r>
      <w:r>
        <w:rPr>
          <w:rFonts w:hint="eastAsia" w:eastAsia="黑体"/>
          <w:szCs w:val="32"/>
        </w:rPr>
        <w:t xml:space="preserve"> 提取方法考察</w:t>
      </w:r>
      <w:r>
        <w:rPr>
          <w:rFonts w:eastAsia="黑体"/>
          <w:szCs w:val="32"/>
        </w:rPr>
        <w:t>结果</w:t>
      </w:r>
    </w:p>
    <w:p w14:paraId="4E9A09E2">
      <w:pPr>
        <w:autoSpaceDE w:val="0"/>
        <w:autoSpaceDN w:val="0"/>
        <w:adjustRightInd w:val="0"/>
        <w:spacing w:line="560" w:lineRule="exact"/>
        <w:ind w:firstLine="640"/>
        <w:jc w:val="left"/>
        <w:rPr>
          <w:rFonts w:ascii="仿宋_GB2312" w:hAnsi="宋体"/>
          <w:color w:val="FF0000"/>
          <w:szCs w:val="32"/>
        </w:rPr>
      </w:pPr>
      <w:r>
        <w:rPr>
          <w:rFonts w:hint="eastAsia" w:ascii="仿宋_GB2312" w:hAnsi="宋体"/>
          <w:color w:val="FF0000"/>
          <w:szCs w:val="32"/>
        </w:rPr>
        <w:t>（2）提取溶剂的选择</w:t>
      </w:r>
    </w:p>
    <w:p w14:paraId="392857D9">
      <w:pPr>
        <w:autoSpaceDE w:val="0"/>
        <w:autoSpaceDN w:val="0"/>
        <w:adjustRightInd w:val="0"/>
        <w:spacing w:line="560" w:lineRule="exact"/>
        <w:ind w:firstLine="640"/>
        <w:jc w:val="left"/>
        <w:rPr>
          <w:rFonts w:ascii="仿宋_GB2312" w:hAnsi="宋体"/>
          <w:color w:val="FF0000"/>
          <w:szCs w:val="32"/>
        </w:rPr>
      </w:pPr>
      <w:r>
        <w:rPr>
          <w:rFonts w:hint="eastAsia" w:ascii="仿宋_GB2312" w:hAnsi="宋体"/>
          <w:color w:val="FF0000"/>
          <w:szCs w:val="32"/>
        </w:rPr>
        <w:t>分别以甲醇、乙醇和乙腈作为提取溶剂进行系统考察。结果如图</w:t>
      </w:r>
      <w:r>
        <w:rPr>
          <w:rFonts w:ascii="仿宋_GB2312" w:hAnsi="宋体"/>
          <w:color w:val="FF0000"/>
          <w:szCs w:val="32"/>
        </w:rPr>
        <w:t>2</w:t>
      </w:r>
      <w:r>
        <w:rPr>
          <w:rFonts w:hint="eastAsia" w:ascii="仿宋_GB2312" w:hAnsi="宋体"/>
          <w:color w:val="FF0000"/>
          <w:szCs w:val="32"/>
        </w:rPr>
        <w:t>所示，乙醇对三种姜黄素类成分均表现出较高的提取效率，同时兼具毒性低、环境友好等优点，因此选用乙醇作为本方法的提取溶剂。</w:t>
      </w:r>
    </w:p>
    <w:p w14:paraId="18148133">
      <w:pPr>
        <w:pStyle w:val="2"/>
        <w:jc w:val="center"/>
      </w:pPr>
      <w:r>
        <w:drawing>
          <wp:inline distT="0" distB="0" distL="114300" distR="114300">
            <wp:extent cx="4857750" cy="2327910"/>
            <wp:effectExtent l="0" t="0" r="0" b="15240"/>
            <wp:docPr id="8"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5C608148">
      <w:pPr>
        <w:autoSpaceDE w:val="0"/>
        <w:autoSpaceDN w:val="0"/>
        <w:adjustRightInd w:val="0"/>
        <w:spacing w:line="560" w:lineRule="exact"/>
        <w:ind w:firstLine="640"/>
        <w:jc w:val="center"/>
        <w:rPr>
          <w:rFonts w:ascii="仿宋_GB2312" w:hAnsi="宋体"/>
          <w:color w:val="000000" w:themeColor="text1"/>
          <w:szCs w:val="32"/>
          <w14:textFill>
            <w14:solidFill>
              <w14:schemeClr w14:val="tx1"/>
            </w14:solidFill>
          </w14:textFill>
        </w:rPr>
      </w:pPr>
      <w:r>
        <w:rPr>
          <w:rFonts w:hint="eastAsia" w:eastAsia="黑体"/>
          <w:szCs w:val="32"/>
        </w:rPr>
        <w:t>图</w:t>
      </w:r>
      <w:r>
        <w:rPr>
          <w:rFonts w:eastAsia="黑体"/>
          <w:szCs w:val="32"/>
        </w:rPr>
        <w:t xml:space="preserve">2 </w:t>
      </w:r>
      <w:r>
        <w:rPr>
          <w:rFonts w:hint="eastAsia" w:eastAsia="黑体"/>
          <w:szCs w:val="32"/>
        </w:rPr>
        <w:t xml:space="preserve"> 提取溶剂考察</w:t>
      </w:r>
      <w:r>
        <w:rPr>
          <w:rFonts w:eastAsia="黑体"/>
          <w:szCs w:val="32"/>
        </w:rPr>
        <w:t>结果</w:t>
      </w:r>
    </w:p>
    <w:p w14:paraId="0CF72CDB">
      <w:pPr>
        <w:autoSpaceDE w:val="0"/>
        <w:autoSpaceDN w:val="0"/>
        <w:adjustRightInd w:val="0"/>
        <w:spacing w:line="560" w:lineRule="exact"/>
        <w:ind w:firstLine="640"/>
        <w:jc w:val="left"/>
        <w:rPr>
          <w:rFonts w:ascii="仿宋_GB2312" w:hAnsi="宋体"/>
          <w:color w:val="000000" w:themeColor="text1"/>
          <w:szCs w:val="32"/>
          <w14:textFill>
            <w14:solidFill>
              <w14:schemeClr w14:val="tx1"/>
            </w14:solidFill>
          </w14:textFill>
        </w:rPr>
      </w:pPr>
      <w:r>
        <w:rPr>
          <w:rFonts w:hint="eastAsia" w:ascii="仿宋_GB2312" w:hAnsi="宋体"/>
          <w:color w:val="000000" w:themeColor="text1"/>
          <w:szCs w:val="32"/>
          <w14:textFill>
            <w14:solidFill>
              <w14:schemeClr w14:val="tx1"/>
            </w14:solidFill>
          </w14:textFill>
        </w:rPr>
        <w:t>（3）提取溶剂体积分数的优化</w:t>
      </w:r>
    </w:p>
    <w:p w14:paraId="4D9932B3">
      <w:pPr>
        <w:autoSpaceDE w:val="0"/>
        <w:autoSpaceDN w:val="0"/>
        <w:adjustRightInd w:val="0"/>
        <w:spacing w:line="560" w:lineRule="exact"/>
        <w:ind w:firstLine="640"/>
        <w:jc w:val="left"/>
        <w:rPr>
          <w:rFonts w:ascii="仿宋_GB2312" w:hAnsi="宋体"/>
          <w:color w:val="000000" w:themeColor="text1"/>
          <w:szCs w:val="32"/>
          <w14:textFill>
            <w14:solidFill>
              <w14:schemeClr w14:val="tx1"/>
            </w14:solidFill>
          </w14:textFill>
        </w:rPr>
      </w:pPr>
      <w:r>
        <w:rPr>
          <w:rFonts w:hint="eastAsia" w:ascii="仿宋_GB2312" w:hAnsi="宋体"/>
          <w:color w:val="000000" w:themeColor="text1"/>
          <w:szCs w:val="32"/>
          <w14:textFill>
            <w14:solidFill>
              <w14:schemeClr w14:val="tx1"/>
            </w14:solidFill>
          </w14:textFill>
        </w:rPr>
        <w:t>进一步对乙醇体积分数（60%、70%、80%、90%、100%）进行梯度实验。结果如图</w:t>
      </w:r>
      <w:r>
        <w:rPr>
          <w:rFonts w:ascii="仿宋_GB2312" w:hAnsi="宋体"/>
          <w:color w:val="000000" w:themeColor="text1"/>
          <w:szCs w:val="32"/>
          <w14:textFill>
            <w14:solidFill>
              <w14:schemeClr w14:val="tx1"/>
            </w14:solidFill>
          </w14:textFill>
        </w:rPr>
        <w:t>3</w:t>
      </w:r>
      <w:r>
        <w:rPr>
          <w:rFonts w:hint="eastAsia" w:ascii="仿宋_GB2312" w:hAnsi="宋体"/>
          <w:color w:val="000000" w:themeColor="text1"/>
          <w:szCs w:val="32"/>
          <w14:textFill>
            <w14:solidFill>
              <w14:schemeClr w14:val="tx1"/>
            </w14:solidFill>
          </w14:textFill>
        </w:rPr>
        <w:t>所示，采用70%乙醇溶液时，三种目标成分的总体提取率达到最高，故确定70%乙醇为最佳提取溶剂体积分数。提取溶剂体积分数的优化</w:t>
      </w:r>
    </w:p>
    <w:p w14:paraId="75643A79">
      <w:pPr>
        <w:pStyle w:val="2"/>
        <w:jc w:val="center"/>
      </w:pPr>
      <w:r>
        <w:drawing>
          <wp:inline distT="0" distB="0" distL="114300" distR="114300">
            <wp:extent cx="4822190" cy="2526665"/>
            <wp:effectExtent l="0" t="0" r="16510" b="6985"/>
            <wp:docPr id="13"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00EB8141">
      <w:pPr>
        <w:autoSpaceDE w:val="0"/>
        <w:autoSpaceDN w:val="0"/>
        <w:adjustRightInd w:val="0"/>
        <w:spacing w:line="560" w:lineRule="exact"/>
        <w:ind w:firstLine="640"/>
        <w:jc w:val="center"/>
        <w:rPr>
          <w:rFonts w:ascii="仿宋_GB2312" w:hAnsi="宋体"/>
          <w:color w:val="000000" w:themeColor="text1"/>
          <w:szCs w:val="32"/>
          <w14:textFill>
            <w14:solidFill>
              <w14:schemeClr w14:val="tx1"/>
            </w14:solidFill>
          </w14:textFill>
        </w:rPr>
      </w:pPr>
      <w:r>
        <w:rPr>
          <w:rFonts w:hint="eastAsia" w:eastAsia="黑体"/>
          <w:szCs w:val="32"/>
        </w:rPr>
        <w:t>图</w:t>
      </w:r>
      <w:r>
        <w:rPr>
          <w:rFonts w:eastAsia="黑体"/>
          <w:szCs w:val="32"/>
        </w:rPr>
        <w:t xml:space="preserve">3 </w:t>
      </w:r>
      <w:r>
        <w:rPr>
          <w:rFonts w:hint="eastAsia" w:eastAsia="黑体"/>
          <w:szCs w:val="32"/>
        </w:rPr>
        <w:t xml:space="preserve"> 提取溶剂体积分数考察</w:t>
      </w:r>
      <w:r>
        <w:rPr>
          <w:rFonts w:eastAsia="黑体"/>
          <w:szCs w:val="32"/>
        </w:rPr>
        <w:t>结果</w:t>
      </w:r>
    </w:p>
    <w:p w14:paraId="328DA9B9">
      <w:pPr>
        <w:autoSpaceDE w:val="0"/>
        <w:autoSpaceDN w:val="0"/>
        <w:adjustRightInd w:val="0"/>
        <w:spacing w:line="560" w:lineRule="exact"/>
        <w:ind w:firstLine="640"/>
        <w:jc w:val="left"/>
        <w:rPr>
          <w:rFonts w:ascii="仿宋_GB2312" w:hAnsi="宋体"/>
          <w:color w:val="000000" w:themeColor="text1"/>
          <w:szCs w:val="32"/>
          <w14:textFill>
            <w14:solidFill>
              <w14:schemeClr w14:val="tx1"/>
            </w14:solidFill>
          </w14:textFill>
        </w:rPr>
      </w:pPr>
      <w:r>
        <w:rPr>
          <w:rFonts w:hint="eastAsia" w:ascii="仿宋_GB2312" w:hAnsi="宋体"/>
          <w:color w:val="000000" w:themeColor="text1"/>
          <w:szCs w:val="32"/>
          <w14:textFill>
            <w14:solidFill>
              <w14:schemeClr w14:val="tx1"/>
            </w14:solidFill>
          </w14:textFill>
        </w:rPr>
        <w:t>（4）提取时间的优化</w:t>
      </w:r>
    </w:p>
    <w:p w14:paraId="7651788F">
      <w:pPr>
        <w:autoSpaceDE w:val="0"/>
        <w:autoSpaceDN w:val="0"/>
        <w:adjustRightInd w:val="0"/>
        <w:spacing w:line="560" w:lineRule="exact"/>
        <w:ind w:firstLine="640"/>
        <w:jc w:val="left"/>
        <w:rPr>
          <w:rFonts w:ascii="仿宋_GB2312" w:hAnsi="宋体"/>
          <w:color w:val="000000" w:themeColor="text1"/>
          <w:szCs w:val="32"/>
          <w14:textFill>
            <w14:solidFill>
              <w14:schemeClr w14:val="tx1"/>
            </w14:solidFill>
          </w14:textFill>
        </w:rPr>
      </w:pPr>
      <w:r>
        <w:rPr>
          <w:rFonts w:hint="eastAsia" w:ascii="仿宋_GB2312" w:hAnsi="宋体"/>
          <w:color w:val="000000" w:themeColor="text1"/>
          <w:szCs w:val="32"/>
          <w14:textFill>
            <w14:solidFill>
              <w14:schemeClr w14:val="tx1"/>
            </w14:solidFill>
          </w14:textFill>
        </w:rPr>
        <w:t>对不同超声提取时间（30 min、35 min、40 min、45 min、50 min、55 min、60 min、65 min）进行系统评价。结果如图</w:t>
      </w:r>
      <w:r>
        <w:rPr>
          <w:rFonts w:ascii="仿宋_GB2312" w:hAnsi="宋体"/>
          <w:color w:val="000000" w:themeColor="text1"/>
          <w:szCs w:val="32"/>
          <w14:textFill>
            <w14:solidFill>
              <w14:schemeClr w14:val="tx1"/>
            </w14:solidFill>
          </w14:textFill>
        </w:rPr>
        <w:t>4</w:t>
      </w:r>
      <w:r>
        <w:rPr>
          <w:rFonts w:hint="eastAsia" w:ascii="仿宋_GB2312" w:hAnsi="宋体"/>
          <w:color w:val="000000" w:themeColor="text1"/>
          <w:szCs w:val="32"/>
          <w14:textFill>
            <w14:solidFill>
              <w14:schemeClr w14:val="tx1"/>
            </w14:solidFill>
          </w14:textFill>
        </w:rPr>
        <w:t>所示，提取50 min时目标成分已实现充分提取，继续延长提取时间未显著提升提取效率，故选择50 min为最佳提取时间。</w:t>
      </w:r>
    </w:p>
    <w:p w14:paraId="3D3B6325">
      <w:pPr>
        <w:pStyle w:val="2"/>
        <w:jc w:val="center"/>
      </w:pPr>
      <w:r>
        <w:drawing>
          <wp:inline distT="0" distB="0" distL="114300" distR="114300">
            <wp:extent cx="4978400" cy="2086610"/>
            <wp:effectExtent l="0" t="0" r="12700" b="8890"/>
            <wp:docPr id="15"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5ECC1763">
      <w:pPr>
        <w:autoSpaceDE w:val="0"/>
        <w:autoSpaceDN w:val="0"/>
        <w:adjustRightInd w:val="0"/>
        <w:spacing w:line="560" w:lineRule="exact"/>
        <w:ind w:firstLine="640"/>
        <w:jc w:val="center"/>
        <w:rPr>
          <w:rFonts w:ascii="仿宋_GB2312" w:hAnsi="宋体"/>
          <w:color w:val="000000" w:themeColor="text1"/>
          <w:szCs w:val="32"/>
          <w14:textFill>
            <w14:solidFill>
              <w14:schemeClr w14:val="tx1"/>
            </w14:solidFill>
          </w14:textFill>
        </w:rPr>
      </w:pPr>
      <w:r>
        <w:rPr>
          <w:rFonts w:hint="eastAsia" w:eastAsia="黑体"/>
          <w:szCs w:val="32"/>
        </w:rPr>
        <w:t>图</w:t>
      </w:r>
      <w:r>
        <w:rPr>
          <w:rFonts w:eastAsia="黑体"/>
          <w:szCs w:val="32"/>
        </w:rPr>
        <w:t xml:space="preserve">4 </w:t>
      </w:r>
      <w:r>
        <w:rPr>
          <w:rFonts w:hint="eastAsia" w:eastAsia="黑体"/>
          <w:szCs w:val="32"/>
        </w:rPr>
        <w:t xml:space="preserve"> 提取时间考察</w:t>
      </w:r>
      <w:r>
        <w:rPr>
          <w:rFonts w:eastAsia="黑体"/>
          <w:szCs w:val="32"/>
        </w:rPr>
        <w:t>结果</w:t>
      </w:r>
    </w:p>
    <w:p w14:paraId="7E63F04C">
      <w:pPr>
        <w:autoSpaceDE w:val="0"/>
        <w:autoSpaceDN w:val="0"/>
        <w:adjustRightInd w:val="0"/>
        <w:spacing w:line="560" w:lineRule="exact"/>
        <w:ind w:firstLine="640"/>
        <w:jc w:val="left"/>
        <w:rPr>
          <w:rFonts w:ascii="仿宋_GB2312" w:hAnsi="宋体"/>
          <w:color w:val="000000" w:themeColor="text1"/>
          <w:szCs w:val="32"/>
          <w14:textFill>
            <w14:solidFill>
              <w14:schemeClr w14:val="tx1"/>
            </w14:solidFill>
          </w14:textFill>
        </w:rPr>
      </w:pPr>
      <w:r>
        <w:rPr>
          <w:rFonts w:hint="eastAsia" w:ascii="仿宋_GB2312" w:hAnsi="宋体"/>
          <w:color w:val="000000" w:themeColor="text1"/>
          <w:szCs w:val="32"/>
          <w14:textFill>
            <w14:solidFill>
              <w14:schemeClr w14:val="tx1"/>
            </w14:solidFill>
          </w14:textFill>
        </w:rPr>
        <w:t>（5）试样溶液制备方法的确定</w:t>
      </w:r>
    </w:p>
    <w:p w14:paraId="2EF523D4">
      <w:pPr>
        <w:autoSpaceDE w:val="0"/>
        <w:autoSpaceDN w:val="0"/>
        <w:adjustRightInd w:val="0"/>
        <w:spacing w:line="560" w:lineRule="exact"/>
        <w:ind w:firstLine="640"/>
        <w:jc w:val="left"/>
        <w:rPr>
          <w:rFonts w:ascii="仿宋_GB2312" w:hAnsi="宋体"/>
          <w:color w:val="000000" w:themeColor="text1"/>
          <w:szCs w:val="32"/>
          <w14:textFill>
            <w14:solidFill>
              <w14:schemeClr w14:val="tx1"/>
            </w14:solidFill>
          </w14:textFill>
        </w:rPr>
      </w:pPr>
      <w:r>
        <w:rPr>
          <w:rFonts w:hint="eastAsia" w:ascii="仿宋_GB2312" w:hAnsi="宋体"/>
          <w:color w:val="000000" w:themeColor="text1"/>
          <w:szCs w:val="32"/>
          <w14:textFill>
            <w14:solidFill>
              <w14:schemeClr w14:val="tx1"/>
            </w14:solidFill>
          </w14:textFill>
        </w:rPr>
        <w:t>综合上述优化结果，最终确定试样溶液的制备方法如下：</w:t>
      </w:r>
    </w:p>
    <w:p w14:paraId="638EF6C6">
      <w:pPr>
        <w:autoSpaceDE w:val="0"/>
        <w:autoSpaceDN w:val="0"/>
        <w:adjustRightInd w:val="0"/>
        <w:spacing w:line="560" w:lineRule="exact"/>
        <w:ind w:firstLine="640"/>
        <w:jc w:val="left"/>
        <w:rPr>
          <w:rFonts w:ascii="仿宋_GB2312" w:hAnsi="宋体"/>
          <w:color w:val="000000" w:themeColor="text1"/>
          <w:szCs w:val="32"/>
          <w14:textFill>
            <w14:solidFill>
              <w14:schemeClr w14:val="tx1"/>
            </w14:solidFill>
          </w14:textFill>
        </w:rPr>
      </w:pPr>
      <w:r>
        <w:rPr>
          <w:rFonts w:hint="eastAsia" w:ascii="仿宋_GB2312" w:hAnsi="宋体"/>
          <w:color w:val="000000" w:themeColor="text1"/>
          <w:szCs w:val="32"/>
          <w14:textFill>
            <w14:solidFill>
              <w14:schemeClr w14:val="tx1"/>
            </w14:solidFill>
          </w14:textFill>
        </w:rPr>
        <w:t>准确称取试样0.3 g（精确至0.0001 g），置于150 mL锥形瓶中，精密加入70%乙醇溶液50 mL，称定重量，超声处理（功率500 W，频率40 kHz）50 min，冷却至室温后，用70%乙醇补足减失的重量，滤过。精密量取续滤液1.0 mL，置5 mL容量瓶中，加70%乙醇稀释至刻度，摇匀，溶液经0.45 μm微孔滤膜过滤，取续滤液作为试样溶液，待液相色谱测定。</w:t>
      </w:r>
    </w:p>
    <w:p w14:paraId="53F7FF29">
      <w:pPr>
        <w:autoSpaceDE w:val="0"/>
        <w:autoSpaceDN w:val="0"/>
        <w:adjustRightInd w:val="0"/>
        <w:spacing w:line="560" w:lineRule="exact"/>
        <w:ind w:firstLine="640"/>
        <w:jc w:val="left"/>
        <w:rPr>
          <w:rFonts w:ascii="仿宋_GB2312" w:hAnsi="宋体"/>
          <w:color w:val="FF0000"/>
          <w:szCs w:val="32"/>
        </w:rPr>
      </w:pPr>
      <w:bookmarkStart w:id="3" w:name="_GoBack"/>
      <w:r>
        <w:rPr>
          <w:rFonts w:hint="eastAsia" w:ascii="仿宋_GB2312" w:hAnsi="宋体"/>
          <w:color w:val="FF0000"/>
          <w:szCs w:val="32"/>
        </w:rPr>
        <w:t>2、仪器参考条件的确定依据</w:t>
      </w:r>
    </w:p>
    <w:p w14:paraId="3A26BC00">
      <w:pPr>
        <w:autoSpaceDE w:val="0"/>
        <w:autoSpaceDN w:val="0"/>
        <w:adjustRightInd w:val="0"/>
        <w:spacing w:line="560" w:lineRule="exact"/>
        <w:ind w:firstLine="640"/>
        <w:jc w:val="left"/>
        <w:rPr>
          <w:rFonts w:ascii="仿宋_GB2312" w:hAnsi="宋体"/>
          <w:color w:val="FF0000"/>
          <w:szCs w:val="32"/>
        </w:rPr>
      </w:pPr>
      <w:r>
        <w:rPr>
          <w:rFonts w:hint="eastAsia" w:ascii="仿宋_GB2312" w:hAnsi="宋体"/>
          <w:color w:val="FF0000"/>
          <w:szCs w:val="32"/>
        </w:rPr>
        <w:t>为确保分析方法对三种姜黄素类成分（姜黄素、去甲氧基姜黄素、双去甲氧基姜黄素）实现有效分离与准确测定，本标准对高效液相色谱法的关键仪器参数进行了系统的方法学优化与验证，具体依据如下：</w:t>
      </w:r>
    </w:p>
    <w:p w14:paraId="1ADC678F">
      <w:pPr>
        <w:autoSpaceDE w:val="0"/>
        <w:autoSpaceDN w:val="0"/>
        <w:adjustRightInd w:val="0"/>
        <w:spacing w:line="560" w:lineRule="exact"/>
        <w:ind w:firstLine="640"/>
        <w:jc w:val="left"/>
        <w:rPr>
          <w:rFonts w:ascii="仿宋_GB2312" w:hAnsi="宋体"/>
          <w:color w:val="FF0000"/>
          <w:szCs w:val="32"/>
        </w:rPr>
      </w:pPr>
      <w:r>
        <w:rPr>
          <w:rFonts w:hint="eastAsia" w:ascii="仿宋_GB2312" w:hAnsi="宋体"/>
          <w:color w:val="FF0000"/>
          <w:szCs w:val="32"/>
        </w:rPr>
        <w:t>（1）检测波长的选择</w:t>
      </w:r>
    </w:p>
    <w:p w14:paraId="2885D8DC">
      <w:pPr>
        <w:autoSpaceDE w:val="0"/>
        <w:autoSpaceDN w:val="0"/>
        <w:adjustRightInd w:val="0"/>
        <w:spacing w:line="560" w:lineRule="exact"/>
        <w:ind w:firstLine="640"/>
        <w:jc w:val="left"/>
        <w:rPr>
          <w:rFonts w:ascii="仿宋_GB2312" w:hAnsi="宋体"/>
          <w:szCs w:val="32"/>
        </w:rPr>
      </w:pPr>
      <w:r>
        <w:rPr>
          <w:rFonts w:hint="eastAsia" w:ascii="仿宋_GB2312" w:hAnsi="宋体"/>
          <w:color w:val="FF0000"/>
          <w:szCs w:val="32"/>
        </w:rPr>
        <w:t>通过对CurⅠ、CurⅡ、CurⅢ标准溶液在200-800 nm波长范围内进行紫外光谱扫描，结果如图</w:t>
      </w:r>
      <w:r>
        <w:rPr>
          <w:rFonts w:ascii="仿宋_GB2312" w:hAnsi="宋体"/>
          <w:color w:val="FF0000"/>
          <w:szCs w:val="32"/>
        </w:rPr>
        <w:t>5</w:t>
      </w:r>
      <w:r>
        <w:rPr>
          <w:rFonts w:hint="eastAsia" w:ascii="仿宋_GB2312" w:hAnsi="宋体"/>
          <w:color w:val="FF0000"/>
          <w:szCs w:val="32"/>
        </w:rPr>
        <w:t>所示，三种成分在416-426 nm区间均有强烈吸收。综合考虑灵敏度、基线稳定性及干扰排除等因素，最终确定421 nm为最佳检测波长，该波长下各成分响应值高，色谱图基线平稳。</w:t>
      </w:r>
      <w:bookmarkEnd w:id="3"/>
    </w:p>
    <w:p w14:paraId="7BDFBD69">
      <w:pPr>
        <w:pStyle w:val="2"/>
        <w:jc w:val="center"/>
      </w:pPr>
      <w:r>
        <w:drawing>
          <wp:inline distT="0" distB="0" distL="0" distR="0">
            <wp:extent cx="5553075" cy="4019550"/>
            <wp:effectExtent l="0" t="0" r="9525" b="0"/>
            <wp:docPr id="1" name="图片 1" descr="C:\Users\Administrator\Desktop\卢俊宇\卢俊宇\色谱扫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卢俊宇\卢俊宇\色谱扫描.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5553075" cy="4019550"/>
                    </a:xfrm>
                    <a:prstGeom prst="rect">
                      <a:avLst/>
                    </a:prstGeom>
                    <a:noFill/>
                    <a:ln>
                      <a:noFill/>
                    </a:ln>
                  </pic:spPr>
                </pic:pic>
              </a:graphicData>
            </a:graphic>
          </wp:inline>
        </w:drawing>
      </w:r>
    </w:p>
    <w:p w14:paraId="7D1AA1A5">
      <w:pPr>
        <w:autoSpaceDE w:val="0"/>
        <w:autoSpaceDN w:val="0"/>
        <w:adjustRightInd w:val="0"/>
        <w:spacing w:line="560" w:lineRule="exact"/>
        <w:ind w:firstLine="640"/>
        <w:jc w:val="center"/>
        <w:rPr>
          <w:rFonts w:ascii="仿宋_GB2312" w:hAnsi="宋体"/>
          <w:szCs w:val="32"/>
        </w:rPr>
      </w:pPr>
      <w:r>
        <w:rPr>
          <w:rFonts w:hint="eastAsia" w:eastAsia="黑体"/>
          <w:szCs w:val="32"/>
        </w:rPr>
        <w:t>图</w:t>
      </w:r>
      <w:r>
        <w:rPr>
          <w:rFonts w:eastAsia="黑体"/>
          <w:szCs w:val="32"/>
        </w:rPr>
        <w:t xml:space="preserve">5 </w:t>
      </w:r>
      <w:r>
        <w:rPr>
          <w:rFonts w:hint="eastAsia" w:eastAsia="黑体"/>
          <w:szCs w:val="32"/>
        </w:rPr>
        <w:t xml:space="preserve"> CurⅠ、CurⅡ、CurⅢ全波长扫描色谱图</w:t>
      </w:r>
    </w:p>
    <w:p w14:paraId="3473C863">
      <w:pPr>
        <w:autoSpaceDE w:val="0"/>
        <w:autoSpaceDN w:val="0"/>
        <w:adjustRightInd w:val="0"/>
        <w:spacing w:line="560" w:lineRule="exact"/>
        <w:ind w:firstLine="640"/>
        <w:jc w:val="left"/>
        <w:rPr>
          <w:rFonts w:ascii="仿宋_GB2312" w:hAnsi="宋体"/>
          <w:szCs w:val="32"/>
        </w:rPr>
      </w:pPr>
      <w:r>
        <w:rPr>
          <w:rFonts w:hint="eastAsia" w:ascii="仿宋_GB2312" w:hAnsi="宋体"/>
          <w:szCs w:val="32"/>
        </w:rPr>
        <w:t>（2）色谱柱的选择</w:t>
      </w:r>
    </w:p>
    <w:p w14:paraId="0120B1D9">
      <w:pPr>
        <w:autoSpaceDE w:val="0"/>
        <w:autoSpaceDN w:val="0"/>
        <w:adjustRightInd w:val="0"/>
        <w:spacing w:line="560" w:lineRule="exact"/>
        <w:ind w:firstLine="640"/>
        <w:jc w:val="left"/>
        <w:rPr>
          <w:rFonts w:ascii="仿宋_GB2312" w:hAnsi="宋体"/>
          <w:szCs w:val="32"/>
        </w:rPr>
      </w:pPr>
      <w:r>
        <w:rPr>
          <w:rFonts w:hint="eastAsia" w:ascii="仿宋_GB2312" w:hAnsi="宋体"/>
          <w:szCs w:val="32"/>
        </w:rPr>
        <w:t>系统比较了包括</w:t>
      </w:r>
      <w:r>
        <w:rPr>
          <w:rFonts w:ascii="仿宋_GB2312" w:hAnsi="宋体"/>
          <w:szCs w:val="32"/>
        </w:rPr>
        <w:t>ZORBAX XDB-C</w:t>
      </w:r>
      <w:r>
        <w:rPr>
          <w:rFonts w:ascii="仿宋_GB2312" w:hAnsi="宋体"/>
          <w:szCs w:val="32"/>
          <w:vertAlign w:val="subscript"/>
        </w:rPr>
        <w:t>18</w:t>
      </w:r>
      <w:r>
        <w:rPr>
          <w:rFonts w:hint="eastAsia" w:ascii="仿宋_GB2312" w:hAnsi="宋体"/>
          <w:szCs w:val="32"/>
        </w:rPr>
        <w:t>、</w:t>
      </w:r>
      <w:r>
        <w:rPr>
          <w:rFonts w:ascii="仿宋_GB2312" w:hAnsi="宋体"/>
          <w:szCs w:val="32"/>
        </w:rPr>
        <w:t>Eclipse Plus C</w:t>
      </w:r>
      <w:r>
        <w:rPr>
          <w:rFonts w:ascii="仿宋_GB2312" w:hAnsi="宋体"/>
          <w:szCs w:val="32"/>
          <w:vertAlign w:val="subscript"/>
        </w:rPr>
        <w:t>18</w:t>
      </w:r>
      <w:r>
        <w:rPr>
          <w:rFonts w:hint="eastAsia" w:ascii="仿宋_GB2312" w:hAnsi="宋体"/>
          <w:szCs w:val="32"/>
        </w:rPr>
        <w:t>、</w:t>
      </w:r>
      <w:r>
        <w:rPr>
          <w:rFonts w:ascii="仿宋_GB2312" w:hAnsi="宋体"/>
          <w:szCs w:val="32"/>
        </w:rPr>
        <w:t>MG</w:t>
      </w:r>
      <w:r>
        <w:rPr>
          <w:rFonts w:hint="eastAsia" w:ascii="仿宋_GB2312" w:hAnsi="宋体"/>
          <w:szCs w:val="32"/>
        </w:rPr>
        <w:t>Ⅱ</w:t>
      </w:r>
      <w:r>
        <w:rPr>
          <w:rFonts w:ascii="仿宋_GB2312" w:hAnsi="宋体"/>
          <w:szCs w:val="32"/>
        </w:rPr>
        <w:t xml:space="preserve"> C</w:t>
      </w:r>
      <w:r>
        <w:rPr>
          <w:rFonts w:ascii="仿宋_GB2312" w:hAnsi="宋体"/>
          <w:szCs w:val="32"/>
          <w:vertAlign w:val="subscript"/>
        </w:rPr>
        <w:t>18</w:t>
      </w:r>
      <w:r>
        <w:rPr>
          <w:rFonts w:hint="eastAsia" w:ascii="仿宋_GB2312" w:hAnsi="宋体"/>
          <w:szCs w:val="32"/>
        </w:rPr>
        <w:t>和</w:t>
      </w:r>
      <w:r>
        <w:rPr>
          <w:rFonts w:ascii="仿宋_GB2312" w:hAnsi="宋体"/>
          <w:szCs w:val="32"/>
        </w:rPr>
        <w:t>Atlantis® T3</w:t>
      </w:r>
      <w:r>
        <w:rPr>
          <w:rFonts w:hint="eastAsia" w:ascii="仿宋_GB2312" w:hAnsi="宋体"/>
          <w:szCs w:val="32"/>
        </w:rPr>
        <w:t>在内的多种</w:t>
      </w:r>
      <w:r>
        <w:rPr>
          <w:rFonts w:ascii="仿宋_GB2312" w:hAnsi="宋体"/>
          <w:szCs w:val="32"/>
        </w:rPr>
        <w:t>C18</w:t>
      </w:r>
      <w:r>
        <w:rPr>
          <w:rFonts w:hint="eastAsia" w:ascii="仿宋_GB2312" w:hAnsi="宋体"/>
          <w:szCs w:val="32"/>
        </w:rPr>
        <w:t>色谱柱的分离效果。结果如图</w:t>
      </w:r>
      <w:r>
        <w:rPr>
          <w:rFonts w:ascii="仿宋_GB2312" w:hAnsi="宋体"/>
          <w:szCs w:val="32"/>
        </w:rPr>
        <w:t>6</w:t>
      </w:r>
      <w:r>
        <w:rPr>
          <w:rFonts w:hint="eastAsia" w:ascii="仿宋_GB2312" w:hAnsi="宋体"/>
          <w:szCs w:val="32"/>
        </w:rPr>
        <w:t>所示，</w:t>
      </w:r>
      <w:r>
        <w:rPr>
          <w:rFonts w:ascii="仿宋_GB2312" w:hAnsi="宋体"/>
          <w:szCs w:val="32"/>
        </w:rPr>
        <w:t>Eclipse Plus C</w:t>
      </w:r>
      <w:r>
        <w:rPr>
          <w:rFonts w:ascii="仿宋_GB2312" w:hAnsi="宋体"/>
          <w:szCs w:val="32"/>
          <w:vertAlign w:val="subscript"/>
        </w:rPr>
        <w:t>18</w:t>
      </w:r>
      <w:r>
        <w:rPr>
          <w:rFonts w:hint="eastAsia" w:ascii="仿宋_GB2312" w:hAnsi="宋体"/>
          <w:szCs w:val="32"/>
        </w:rPr>
        <w:t>色谱柱对三种目标成分的分离效果最佳，峰形对称，理论塔板数高，且保留时间稳定，故推荐使用</w:t>
      </w:r>
      <w:r>
        <w:rPr>
          <w:rFonts w:ascii="仿宋_GB2312" w:hAnsi="宋体"/>
          <w:szCs w:val="32"/>
        </w:rPr>
        <w:t>Eclipse Plus C</w:t>
      </w:r>
      <w:r>
        <w:rPr>
          <w:rFonts w:ascii="仿宋_GB2312" w:hAnsi="宋体"/>
          <w:szCs w:val="32"/>
          <w:vertAlign w:val="subscript"/>
        </w:rPr>
        <w:t>18</w:t>
      </w:r>
      <w:r>
        <w:rPr>
          <w:rFonts w:hint="eastAsia" w:ascii="仿宋_GB2312" w:hAnsi="宋体"/>
          <w:szCs w:val="32"/>
        </w:rPr>
        <w:t>色谱柱或同等性能的</w:t>
      </w:r>
      <w:r>
        <w:rPr>
          <w:rFonts w:ascii="仿宋_GB2312" w:hAnsi="宋体"/>
          <w:szCs w:val="32"/>
        </w:rPr>
        <w:t>C</w:t>
      </w:r>
      <w:r>
        <w:rPr>
          <w:rFonts w:ascii="仿宋_GB2312" w:hAnsi="宋体"/>
          <w:szCs w:val="32"/>
          <w:vertAlign w:val="subscript"/>
        </w:rPr>
        <w:t>18</w:t>
      </w:r>
      <w:r>
        <w:rPr>
          <w:rFonts w:hint="eastAsia" w:ascii="仿宋_GB2312" w:hAnsi="宋体"/>
          <w:szCs w:val="32"/>
        </w:rPr>
        <w:t>色谱柱。</w:t>
      </w:r>
    </w:p>
    <w:p w14:paraId="174616E0">
      <w:pPr>
        <w:pStyle w:val="2"/>
      </w:pPr>
      <w:r>
        <w:drawing>
          <wp:inline distT="0" distB="0" distL="0" distR="0">
            <wp:extent cx="5688330" cy="2220595"/>
            <wp:effectExtent l="0" t="0" r="7620" b="8255"/>
            <wp:docPr id="2" name="图片 2" descr="C:\Users\Administrator\Desktop\卢俊宇\卢俊宇\色谱柱选择.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Administrator\Desktop\卢俊宇\卢俊宇\色谱柱选择.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5688330" cy="2220786"/>
                    </a:xfrm>
                    <a:prstGeom prst="rect">
                      <a:avLst/>
                    </a:prstGeom>
                    <a:noFill/>
                    <a:ln>
                      <a:noFill/>
                    </a:ln>
                  </pic:spPr>
                </pic:pic>
              </a:graphicData>
            </a:graphic>
          </wp:inline>
        </w:drawing>
      </w:r>
    </w:p>
    <w:p w14:paraId="5387C0F4">
      <w:pPr>
        <w:autoSpaceDE w:val="0"/>
        <w:autoSpaceDN w:val="0"/>
        <w:adjustRightInd w:val="0"/>
        <w:spacing w:line="560" w:lineRule="exact"/>
        <w:ind w:firstLine="640"/>
        <w:jc w:val="center"/>
        <w:rPr>
          <w:rFonts w:ascii="仿宋_GB2312" w:hAnsi="宋体"/>
          <w:szCs w:val="32"/>
        </w:rPr>
      </w:pPr>
      <w:r>
        <w:rPr>
          <w:rFonts w:hint="eastAsia" w:eastAsia="黑体"/>
          <w:szCs w:val="32"/>
        </w:rPr>
        <w:t>图</w:t>
      </w:r>
      <w:r>
        <w:rPr>
          <w:rFonts w:eastAsia="黑体"/>
          <w:szCs w:val="32"/>
        </w:rPr>
        <w:t xml:space="preserve">6 </w:t>
      </w:r>
      <w:r>
        <w:rPr>
          <w:rFonts w:hint="eastAsia" w:eastAsia="黑体"/>
          <w:szCs w:val="32"/>
        </w:rPr>
        <w:t xml:space="preserve"> 考察不同</w:t>
      </w:r>
      <w:r>
        <w:rPr>
          <w:rFonts w:eastAsia="黑体"/>
          <w:szCs w:val="32"/>
        </w:rPr>
        <w:t>类型色谱柱</w:t>
      </w:r>
      <w:r>
        <w:rPr>
          <w:rFonts w:hint="eastAsia" w:eastAsia="黑体"/>
          <w:szCs w:val="32"/>
        </w:rPr>
        <w:t>色谱图</w:t>
      </w:r>
    </w:p>
    <w:p w14:paraId="319ED61F">
      <w:pPr>
        <w:autoSpaceDE w:val="0"/>
        <w:autoSpaceDN w:val="0"/>
        <w:adjustRightInd w:val="0"/>
        <w:spacing w:line="560" w:lineRule="exact"/>
        <w:ind w:firstLine="640"/>
        <w:jc w:val="left"/>
        <w:rPr>
          <w:rFonts w:ascii="仿宋_GB2312" w:hAnsi="宋体"/>
          <w:szCs w:val="32"/>
        </w:rPr>
      </w:pPr>
      <w:r>
        <w:rPr>
          <w:rFonts w:hint="eastAsia" w:ascii="仿宋_GB2312" w:hAnsi="宋体"/>
          <w:szCs w:val="32"/>
        </w:rPr>
        <w:t>（3）流动相的选择</w:t>
      </w:r>
    </w:p>
    <w:p w14:paraId="222ED90A">
      <w:pPr>
        <w:autoSpaceDE w:val="0"/>
        <w:autoSpaceDN w:val="0"/>
        <w:adjustRightInd w:val="0"/>
        <w:spacing w:line="560" w:lineRule="exact"/>
        <w:ind w:firstLine="640"/>
        <w:jc w:val="left"/>
        <w:rPr>
          <w:rFonts w:ascii="仿宋_GB2312" w:hAnsi="宋体"/>
          <w:szCs w:val="32"/>
        </w:rPr>
      </w:pPr>
      <w:r>
        <w:rPr>
          <w:rFonts w:hint="eastAsia" w:ascii="仿宋_GB2312" w:hAnsi="宋体"/>
          <w:szCs w:val="32"/>
        </w:rPr>
        <w:t>对比考察了乙腈-水体系及乙腈-不同浓度乙酸或缓冲盐的多种流动相组合。结果如图</w:t>
      </w:r>
      <w:r>
        <w:rPr>
          <w:rFonts w:ascii="仿宋_GB2312" w:hAnsi="宋体"/>
          <w:szCs w:val="32"/>
        </w:rPr>
        <w:t>7</w:t>
      </w:r>
      <w:r>
        <w:rPr>
          <w:rFonts w:hint="eastAsia" w:ascii="仿宋_GB2312" w:hAnsi="宋体"/>
          <w:szCs w:val="32"/>
        </w:rPr>
        <w:t>所示，采用乙腈-4%乙酸（45:55，v/v）等度洗脱系统时，三种姜黄素类成分均能达到基线分离，且峰形尖锐，分析时间适中，系统稳定性良好，故确定为本方法的流动相体系。</w:t>
      </w:r>
    </w:p>
    <w:p w14:paraId="65647146">
      <w:pPr>
        <w:pStyle w:val="2"/>
      </w:pPr>
      <w:r>
        <w:drawing>
          <wp:inline distT="0" distB="0" distL="0" distR="0">
            <wp:extent cx="5688330" cy="1859915"/>
            <wp:effectExtent l="0" t="0" r="7620" b="6985"/>
            <wp:docPr id="3" name="图片 3" descr="C:\Users\Administrator\Desktop\卢俊宇\卢俊宇\流动相选择.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Administrator\Desktop\卢俊宇\卢俊宇\流动相选择.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5688330" cy="1860211"/>
                    </a:xfrm>
                    <a:prstGeom prst="rect">
                      <a:avLst/>
                    </a:prstGeom>
                    <a:noFill/>
                    <a:ln>
                      <a:noFill/>
                    </a:ln>
                  </pic:spPr>
                </pic:pic>
              </a:graphicData>
            </a:graphic>
          </wp:inline>
        </w:drawing>
      </w:r>
    </w:p>
    <w:p w14:paraId="1F342D39">
      <w:pPr>
        <w:autoSpaceDE w:val="0"/>
        <w:autoSpaceDN w:val="0"/>
        <w:adjustRightInd w:val="0"/>
        <w:spacing w:line="560" w:lineRule="exact"/>
        <w:ind w:firstLine="640"/>
        <w:jc w:val="center"/>
        <w:rPr>
          <w:rFonts w:ascii="仿宋_GB2312" w:hAnsi="宋体"/>
          <w:szCs w:val="32"/>
        </w:rPr>
      </w:pPr>
      <w:r>
        <w:rPr>
          <w:rFonts w:hint="eastAsia" w:eastAsia="黑体"/>
          <w:szCs w:val="32"/>
        </w:rPr>
        <w:t>图</w:t>
      </w:r>
      <w:r>
        <w:rPr>
          <w:rFonts w:eastAsia="黑体"/>
          <w:szCs w:val="32"/>
        </w:rPr>
        <w:t xml:space="preserve">7 </w:t>
      </w:r>
      <w:r>
        <w:rPr>
          <w:rFonts w:hint="eastAsia" w:eastAsia="黑体"/>
          <w:szCs w:val="32"/>
        </w:rPr>
        <w:t xml:space="preserve"> 考察不同流动相色谱图</w:t>
      </w:r>
    </w:p>
    <w:p w14:paraId="449D8550">
      <w:pPr>
        <w:autoSpaceDE w:val="0"/>
        <w:autoSpaceDN w:val="0"/>
        <w:adjustRightInd w:val="0"/>
        <w:spacing w:line="560" w:lineRule="exact"/>
        <w:ind w:firstLine="640"/>
        <w:jc w:val="left"/>
        <w:rPr>
          <w:rFonts w:ascii="仿宋_GB2312" w:hAnsi="宋体"/>
          <w:szCs w:val="32"/>
        </w:rPr>
      </w:pPr>
      <w:r>
        <w:rPr>
          <w:rFonts w:hint="eastAsia" w:ascii="仿宋_GB2312" w:hAnsi="宋体"/>
          <w:szCs w:val="32"/>
        </w:rPr>
        <w:t>（4）流速的选择</w:t>
      </w:r>
    </w:p>
    <w:p w14:paraId="5B36BC64">
      <w:pPr>
        <w:autoSpaceDE w:val="0"/>
        <w:autoSpaceDN w:val="0"/>
        <w:adjustRightInd w:val="0"/>
        <w:spacing w:line="560" w:lineRule="exact"/>
        <w:ind w:firstLine="640"/>
        <w:jc w:val="left"/>
        <w:rPr>
          <w:rFonts w:ascii="仿宋_GB2312" w:hAnsi="宋体"/>
          <w:szCs w:val="32"/>
        </w:rPr>
      </w:pPr>
      <w:r>
        <w:rPr>
          <w:rFonts w:hint="eastAsia" w:ascii="仿宋_GB2312" w:hAnsi="宋体"/>
          <w:szCs w:val="32"/>
        </w:rPr>
        <w:t>考察了0.6 mL/min至1.2 mL/min范围内不同流速对分离效果和分析时间的影响。结果如图</w:t>
      </w:r>
      <w:r>
        <w:rPr>
          <w:rFonts w:ascii="仿宋_GB2312" w:hAnsi="宋体"/>
          <w:szCs w:val="32"/>
        </w:rPr>
        <w:t>8</w:t>
      </w:r>
      <w:r>
        <w:rPr>
          <w:rFonts w:hint="eastAsia" w:ascii="仿宋_GB2312" w:hAnsi="宋体"/>
          <w:szCs w:val="32"/>
        </w:rPr>
        <w:t>所示，流速为1.0 mL/min时，可在保证良好分离度的前提下，将分析时间控制在合理范围内，故选择为最佳流速。</w:t>
      </w:r>
    </w:p>
    <w:p w14:paraId="4412769D">
      <w:pPr>
        <w:pStyle w:val="2"/>
      </w:pPr>
      <w:r>
        <w:drawing>
          <wp:inline distT="0" distB="0" distL="0" distR="0">
            <wp:extent cx="5688330" cy="2986405"/>
            <wp:effectExtent l="0" t="0" r="7620" b="4445"/>
            <wp:docPr id="5" name="图片 5" descr="C:\Users\Administrator\Desktop\卢俊宇\卢俊宇\流速选择.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Administrator\Desktop\卢俊宇\卢俊宇\流速选择.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5688330" cy="2986628"/>
                    </a:xfrm>
                    <a:prstGeom prst="rect">
                      <a:avLst/>
                    </a:prstGeom>
                    <a:noFill/>
                    <a:ln>
                      <a:noFill/>
                    </a:ln>
                  </pic:spPr>
                </pic:pic>
              </a:graphicData>
            </a:graphic>
          </wp:inline>
        </w:drawing>
      </w:r>
    </w:p>
    <w:p w14:paraId="0F0A5554">
      <w:pPr>
        <w:autoSpaceDE w:val="0"/>
        <w:autoSpaceDN w:val="0"/>
        <w:adjustRightInd w:val="0"/>
        <w:spacing w:line="560" w:lineRule="exact"/>
        <w:ind w:firstLine="640"/>
        <w:jc w:val="center"/>
        <w:rPr>
          <w:rFonts w:ascii="仿宋_GB2312" w:hAnsi="宋体"/>
          <w:szCs w:val="32"/>
        </w:rPr>
      </w:pPr>
      <w:r>
        <w:rPr>
          <w:rFonts w:hint="eastAsia" w:eastAsia="黑体"/>
          <w:szCs w:val="32"/>
        </w:rPr>
        <w:t>图</w:t>
      </w:r>
      <w:r>
        <w:rPr>
          <w:rFonts w:eastAsia="黑体"/>
          <w:szCs w:val="32"/>
        </w:rPr>
        <w:t xml:space="preserve">8 </w:t>
      </w:r>
      <w:r>
        <w:rPr>
          <w:rFonts w:hint="eastAsia" w:eastAsia="黑体"/>
          <w:szCs w:val="32"/>
        </w:rPr>
        <w:t xml:space="preserve"> 考察不同流速色谱图</w:t>
      </w:r>
    </w:p>
    <w:p w14:paraId="069AC375">
      <w:pPr>
        <w:autoSpaceDE w:val="0"/>
        <w:autoSpaceDN w:val="0"/>
        <w:adjustRightInd w:val="0"/>
        <w:spacing w:line="560" w:lineRule="exact"/>
        <w:ind w:firstLine="640"/>
        <w:jc w:val="left"/>
        <w:rPr>
          <w:rFonts w:ascii="仿宋_GB2312" w:hAnsi="宋体"/>
          <w:szCs w:val="32"/>
        </w:rPr>
      </w:pPr>
      <w:r>
        <w:rPr>
          <w:rFonts w:hint="eastAsia" w:ascii="仿宋_GB2312" w:hAnsi="宋体"/>
          <w:szCs w:val="32"/>
        </w:rPr>
        <w:t>（5）柱温的选择</w:t>
      </w:r>
    </w:p>
    <w:p w14:paraId="2AEFE552">
      <w:pPr>
        <w:autoSpaceDE w:val="0"/>
        <w:autoSpaceDN w:val="0"/>
        <w:adjustRightInd w:val="0"/>
        <w:spacing w:line="560" w:lineRule="exact"/>
        <w:ind w:firstLine="640"/>
        <w:jc w:val="left"/>
        <w:rPr>
          <w:rFonts w:ascii="仿宋_GB2312" w:hAnsi="宋体"/>
          <w:szCs w:val="32"/>
        </w:rPr>
      </w:pPr>
      <w:r>
        <w:rPr>
          <w:rFonts w:hint="eastAsia" w:ascii="仿宋_GB2312" w:hAnsi="宋体"/>
          <w:szCs w:val="32"/>
        </w:rPr>
        <w:t>在</w:t>
      </w:r>
      <w:r>
        <w:rPr>
          <w:rFonts w:ascii="仿宋_GB2312" w:hAnsi="宋体"/>
          <w:szCs w:val="32"/>
        </w:rPr>
        <w:t>25</w:t>
      </w:r>
      <w:r>
        <w:rPr>
          <w:rFonts w:hint="eastAsia" w:ascii="仿宋_GB2312" w:hAnsi="宋体"/>
          <w:szCs w:val="32"/>
        </w:rPr>
        <w:t>°C、30°C、35°C、40°C三个温度条件下进行测试。结果如图</w:t>
      </w:r>
      <w:r>
        <w:rPr>
          <w:rFonts w:ascii="仿宋_GB2312" w:hAnsi="宋体"/>
          <w:szCs w:val="32"/>
        </w:rPr>
        <w:t>9</w:t>
      </w:r>
      <w:r>
        <w:rPr>
          <w:rFonts w:hint="eastAsia" w:ascii="仿宋_GB2312" w:hAnsi="宋体"/>
          <w:szCs w:val="32"/>
        </w:rPr>
        <w:t>所示，各温度下目标成分均能实现有效分离，但30°C条件下保留时间适中，且更有利于保持方法的重现性与色谱柱的长期稳定性，故确定为本方法的柱温条件。</w:t>
      </w:r>
    </w:p>
    <w:p w14:paraId="25AAF824">
      <w:pPr>
        <w:pStyle w:val="2"/>
      </w:pPr>
      <w:r>
        <w:drawing>
          <wp:inline distT="0" distB="0" distL="0" distR="0">
            <wp:extent cx="5688330" cy="2923540"/>
            <wp:effectExtent l="0" t="0" r="7620" b="0"/>
            <wp:docPr id="4" name="图片 4" descr="C:\Users\Administrator\Desktop\卢俊宇\卢俊宇\柱温选择.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卢俊宇\卢俊宇\柱温选择.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5688330" cy="2924101"/>
                    </a:xfrm>
                    <a:prstGeom prst="rect">
                      <a:avLst/>
                    </a:prstGeom>
                    <a:noFill/>
                    <a:ln>
                      <a:noFill/>
                    </a:ln>
                  </pic:spPr>
                </pic:pic>
              </a:graphicData>
            </a:graphic>
          </wp:inline>
        </w:drawing>
      </w:r>
    </w:p>
    <w:p w14:paraId="2C4C7BFC">
      <w:pPr>
        <w:autoSpaceDE w:val="0"/>
        <w:autoSpaceDN w:val="0"/>
        <w:adjustRightInd w:val="0"/>
        <w:spacing w:line="560" w:lineRule="exact"/>
        <w:ind w:firstLine="640"/>
        <w:jc w:val="center"/>
        <w:rPr>
          <w:rFonts w:ascii="仿宋_GB2312" w:hAnsi="宋体"/>
          <w:szCs w:val="32"/>
        </w:rPr>
      </w:pPr>
      <w:r>
        <w:rPr>
          <w:rFonts w:hint="eastAsia" w:eastAsia="黑体"/>
          <w:szCs w:val="32"/>
        </w:rPr>
        <w:t>图</w:t>
      </w:r>
      <w:r>
        <w:rPr>
          <w:rFonts w:eastAsia="黑体"/>
          <w:szCs w:val="32"/>
        </w:rPr>
        <w:t xml:space="preserve">9 </w:t>
      </w:r>
      <w:r>
        <w:rPr>
          <w:rFonts w:hint="eastAsia" w:eastAsia="黑体"/>
          <w:szCs w:val="32"/>
        </w:rPr>
        <w:t xml:space="preserve"> 考察不同柱温色谱图</w:t>
      </w:r>
    </w:p>
    <w:p w14:paraId="7E603A16">
      <w:pPr>
        <w:autoSpaceDE w:val="0"/>
        <w:autoSpaceDN w:val="0"/>
        <w:adjustRightInd w:val="0"/>
        <w:spacing w:line="560" w:lineRule="exact"/>
        <w:ind w:firstLine="640"/>
        <w:jc w:val="left"/>
        <w:rPr>
          <w:rFonts w:ascii="仿宋_GB2312" w:hAnsi="宋体"/>
          <w:szCs w:val="32"/>
        </w:rPr>
      </w:pPr>
      <w:r>
        <w:rPr>
          <w:rFonts w:hint="eastAsia" w:ascii="仿宋_GB2312" w:hAnsi="宋体"/>
          <w:szCs w:val="32"/>
        </w:rPr>
        <w:t>（6）进样量的选择</w:t>
      </w:r>
    </w:p>
    <w:p w14:paraId="365A7A4D">
      <w:pPr>
        <w:autoSpaceDE w:val="0"/>
        <w:autoSpaceDN w:val="0"/>
        <w:adjustRightInd w:val="0"/>
        <w:spacing w:line="560" w:lineRule="exact"/>
        <w:ind w:firstLine="640"/>
        <w:jc w:val="left"/>
        <w:rPr>
          <w:rFonts w:ascii="仿宋_GB2312" w:hAnsi="宋体"/>
          <w:szCs w:val="32"/>
        </w:rPr>
      </w:pPr>
      <w:r>
        <w:rPr>
          <w:rFonts w:hint="eastAsia" w:ascii="仿宋_GB2312" w:hAnsi="宋体"/>
          <w:szCs w:val="32"/>
        </w:rPr>
        <w:t>对不同进样量（5 μL、10 μL、15 μL、20 μL、30 μL、40 μL）进行考察。结果</w:t>
      </w:r>
      <w:r>
        <w:rPr>
          <w:rFonts w:ascii="仿宋_GB2312" w:hAnsi="宋体"/>
          <w:szCs w:val="32"/>
        </w:rPr>
        <w:t>如图</w:t>
      </w:r>
      <w:r>
        <w:rPr>
          <w:rFonts w:hint="eastAsia" w:ascii="仿宋_GB2312" w:hAnsi="宋体"/>
          <w:szCs w:val="32"/>
        </w:rPr>
        <w:t>10所示，10 μL进样量时，各成分峰形尖锐对称，信噪比适宜，且无溶剂效应或柱过载现象，故确定为最佳进样量。</w:t>
      </w:r>
    </w:p>
    <w:p w14:paraId="4D523B9A">
      <w:pPr>
        <w:pStyle w:val="2"/>
      </w:pPr>
      <w:r>
        <w:drawing>
          <wp:inline distT="0" distB="0" distL="0" distR="0">
            <wp:extent cx="5688330" cy="2717800"/>
            <wp:effectExtent l="0" t="0" r="7620" b="6350"/>
            <wp:docPr id="6" name="图片 6" descr="C:\Users\Administrator\Desktop\卢俊宇\卢俊宇\进样量选择.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卢俊宇\卢俊宇\进样量选择.jp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5688330" cy="2718094"/>
                    </a:xfrm>
                    <a:prstGeom prst="rect">
                      <a:avLst/>
                    </a:prstGeom>
                    <a:noFill/>
                    <a:ln>
                      <a:noFill/>
                    </a:ln>
                  </pic:spPr>
                </pic:pic>
              </a:graphicData>
            </a:graphic>
          </wp:inline>
        </w:drawing>
      </w:r>
    </w:p>
    <w:p w14:paraId="332261CE">
      <w:pPr>
        <w:autoSpaceDE w:val="0"/>
        <w:autoSpaceDN w:val="0"/>
        <w:adjustRightInd w:val="0"/>
        <w:spacing w:line="560" w:lineRule="exact"/>
        <w:ind w:firstLine="640"/>
        <w:jc w:val="center"/>
        <w:rPr>
          <w:rFonts w:ascii="仿宋_GB2312" w:hAnsi="宋体"/>
          <w:szCs w:val="32"/>
        </w:rPr>
      </w:pPr>
      <w:r>
        <w:rPr>
          <w:rFonts w:hint="eastAsia" w:eastAsia="黑体"/>
          <w:szCs w:val="32"/>
        </w:rPr>
        <w:t>图</w:t>
      </w:r>
      <w:r>
        <w:rPr>
          <w:rFonts w:eastAsia="黑体"/>
          <w:szCs w:val="32"/>
        </w:rPr>
        <w:t>10</w:t>
      </w:r>
      <w:r>
        <w:rPr>
          <w:rFonts w:hint="eastAsia" w:eastAsia="黑体"/>
          <w:szCs w:val="32"/>
        </w:rPr>
        <w:t xml:space="preserve"> 考察不同进样量色谱图</w:t>
      </w:r>
    </w:p>
    <w:p w14:paraId="62D8BAB5">
      <w:pPr>
        <w:autoSpaceDE w:val="0"/>
        <w:autoSpaceDN w:val="0"/>
        <w:adjustRightInd w:val="0"/>
        <w:spacing w:line="560" w:lineRule="exact"/>
        <w:ind w:firstLine="640"/>
        <w:jc w:val="left"/>
        <w:rPr>
          <w:rFonts w:ascii="仿宋_GB2312" w:hAnsi="宋体"/>
          <w:szCs w:val="32"/>
        </w:rPr>
      </w:pPr>
      <w:r>
        <w:rPr>
          <w:rFonts w:hint="eastAsia" w:ascii="仿宋_GB2312" w:hAnsi="宋体"/>
          <w:szCs w:val="32"/>
        </w:rPr>
        <w:t>（8）仪器参考条件的确定</w:t>
      </w:r>
    </w:p>
    <w:p w14:paraId="520E31BB">
      <w:pPr>
        <w:autoSpaceDE w:val="0"/>
        <w:autoSpaceDN w:val="0"/>
        <w:adjustRightInd w:val="0"/>
        <w:spacing w:line="560" w:lineRule="exact"/>
        <w:ind w:firstLine="640"/>
        <w:jc w:val="left"/>
        <w:rPr>
          <w:rFonts w:ascii="仿宋_GB2312" w:hAnsi="宋体"/>
          <w:szCs w:val="32"/>
        </w:rPr>
      </w:pPr>
      <w:r>
        <w:rPr>
          <w:rFonts w:hint="eastAsia" w:ascii="仿宋_GB2312" w:hAnsi="宋体"/>
          <w:szCs w:val="32"/>
        </w:rPr>
        <w:t>基于上述系统优化结果，最终确定仪器参考条件如下：</w:t>
      </w:r>
    </w:p>
    <w:p w14:paraId="283FA6AB">
      <w:pPr>
        <w:autoSpaceDE w:val="0"/>
        <w:autoSpaceDN w:val="0"/>
        <w:adjustRightInd w:val="0"/>
        <w:spacing w:line="560" w:lineRule="exact"/>
        <w:ind w:firstLine="640"/>
        <w:jc w:val="left"/>
        <w:rPr>
          <w:rFonts w:ascii="仿宋_GB2312" w:hAnsi="宋体"/>
          <w:szCs w:val="32"/>
        </w:rPr>
      </w:pPr>
      <w:r>
        <w:rPr>
          <w:rFonts w:hint="eastAsia" w:ascii="仿宋_GB2312" w:hAnsi="宋体"/>
          <w:szCs w:val="32"/>
        </w:rPr>
        <w:t>色谱柱：C</w:t>
      </w:r>
      <w:r>
        <w:rPr>
          <w:rFonts w:hint="eastAsia" w:ascii="仿宋_GB2312" w:hAnsi="宋体"/>
          <w:szCs w:val="32"/>
          <w:vertAlign w:val="subscript"/>
        </w:rPr>
        <w:t>18</w:t>
      </w:r>
      <w:r>
        <w:rPr>
          <w:rFonts w:hint="eastAsia" w:ascii="仿宋_GB2312" w:hAnsi="宋体"/>
          <w:szCs w:val="32"/>
        </w:rPr>
        <w:t>柱，柱长250 mm，内径4.6 mm，粒径5 μm，或同等性能的色谱柱。</w:t>
      </w:r>
    </w:p>
    <w:p w14:paraId="02F99D16">
      <w:pPr>
        <w:autoSpaceDE w:val="0"/>
        <w:autoSpaceDN w:val="0"/>
        <w:adjustRightInd w:val="0"/>
        <w:spacing w:line="560" w:lineRule="exact"/>
        <w:ind w:firstLine="640"/>
        <w:jc w:val="left"/>
        <w:rPr>
          <w:rFonts w:ascii="仿宋_GB2312" w:hAnsi="宋体"/>
          <w:szCs w:val="32"/>
        </w:rPr>
      </w:pPr>
      <w:r>
        <w:rPr>
          <w:rFonts w:hint="eastAsia" w:ascii="仿宋_GB2312" w:hAnsi="宋体"/>
          <w:szCs w:val="32"/>
        </w:rPr>
        <w:t>检测器：二极管阵列检测器或紫外检测器</w:t>
      </w:r>
    </w:p>
    <w:p w14:paraId="6D8AD362">
      <w:pPr>
        <w:autoSpaceDE w:val="0"/>
        <w:autoSpaceDN w:val="0"/>
        <w:adjustRightInd w:val="0"/>
        <w:spacing w:line="560" w:lineRule="exact"/>
        <w:ind w:firstLine="640"/>
        <w:jc w:val="left"/>
        <w:rPr>
          <w:rFonts w:ascii="仿宋_GB2312" w:hAnsi="宋体"/>
          <w:szCs w:val="32"/>
        </w:rPr>
      </w:pPr>
      <w:r>
        <w:rPr>
          <w:rFonts w:hint="eastAsia" w:ascii="仿宋_GB2312" w:hAnsi="宋体"/>
          <w:szCs w:val="32"/>
        </w:rPr>
        <w:t>流动相：乙腈-4%乙酸（45∶55）</w:t>
      </w:r>
    </w:p>
    <w:p w14:paraId="30D1AC8A">
      <w:pPr>
        <w:autoSpaceDE w:val="0"/>
        <w:autoSpaceDN w:val="0"/>
        <w:adjustRightInd w:val="0"/>
        <w:spacing w:line="560" w:lineRule="exact"/>
        <w:ind w:firstLine="640"/>
        <w:jc w:val="left"/>
        <w:rPr>
          <w:rFonts w:ascii="仿宋_GB2312" w:hAnsi="宋体"/>
          <w:szCs w:val="32"/>
        </w:rPr>
      </w:pPr>
      <w:r>
        <w:rPr>
          <w:rFonts w:hint="eastAsia" w:ascii="仿宋_GB2312" w:hAnsi="宋体"/>
          <w:szCs w:val="32"/>
        </w:rPr>
        <w:t>流速：1.0 mL/min。</w:t>
      </w:r>
    </w:p>
    <w:p w14:paraId="13474F2F">
      <w:pPr>
        <w:autoSpaceDE w:val="0"/>
        <w:autoSpaceDN w:val="0"/>
        <w:adjustRightInd w:val="0"/>
        <w:spacing w:line="560" w:lineRule="exact"/>
        <w:ind w:firstLine="640"/>
        <w:jc w:val="left"/>
        <w:rPr>
          <w:rFonts w:ascii="仿宋_GB2312" w:hAnsi="宋体"/>
          <w:szCs w:val="32"/>
        </w:rPr>
      </w:pPr>
      <w:r>
        <w:rPr>
          <w:rFonts w:hint="eastAsia" w:ascii="仿宋_GB2312" w:hAnsi="宋体"/>
          <w:szCs w:val="32"/>
        </w:rPr>
        <w:t>柱温：30 ℃。</w:t>
      </w:r>
    </w:p>
    <w:p w14:paraId="5BF4E897">
      <w:pPr>
        <w:autoSpaceDE w:val="0"/>
        <w:autoSpaceDN w:val="0"/>
        <w:adjustRightInd w:val="0"/>
        <w:spacing w:line="560" w:lineRule="exact"/>
        <w:ind w:firstLine="640"/>
        <w:jc w:val="left"/>
        <w:rPr>
          <w:rFonts w:ascii="仿宋_GB2312" w:hAnsi="宋体"/>
          <w:szCs w:val="32"/>
        </w:rPr>
      </w:pPr>
      <w:r>
        <w:rPr>
          <w:rFonts w:hint="eastAsia" w:ascii="仿宋_GB2312" w:hAnsi="宋体"/>
          <w:szCs w:val="32"/>
        </w:rPr>
        <w:t>检测波长：421 nm。</w:t>
      </w:r>
    </w:p>
    <w:p w14:paraId="4CBC7A26">
      <w:pPr>
        <w:autoSpaceDE w:val="0"/>
        <w:autoSpaceDN w:val="0"/>
        <w:adjustRightInd w:val="0"/>
        <w:spacing w:line="560" w:lineRule="exact"/>
        <w:ind w:firstLine="640"/>
        <w:jc w:val="left"/>
        <w:rPr>
          <w:rFonts w:ascii="仿宋_GB2312" w:hAnsi="宋体"/>
          <w:szCs w:val="32"/>
        </w:rPr>
      </w:pPr>
      <w:r>
        <w:rPr>
          <w:rFonts w:hint="eastAsia" w:ascii="仿宋_GB2312" w:hAnsi="宋体"/>
          <w:szCs w:val="32"/>
        </w:rPr>
        <w:t>进样量：10 μL。</w:t>
      </w:r>
    </w:p>
    <w:p w14:paraId="6615CD1E">
      <w:pPr>
        <w:autoSpaceDE w:val="0"/>
        <w:autoSpaceDN w:val="0"/>
        <w:adjustRightInd w:val="0"/>
        <w:spacing w:line="560" w:lineRule="exact"/>
        <w:ind w:firstLine="640"/>
        <w:jc w:val="left"/>
        <w:rPr>
          <w:rFonts w:ascii="仿宋_GB2312" w:hAnsi="宋体"/>
          <w:szCs w:val="32"/>
        </w:rPr>
      </w:pPr>
      <w:r>
        <w:rPr>
          <w:rFonts w:hint="eastAsia" w:ascii="仿宋_GB2312" w:hAnsi="宋体"/>
          <w:szCs w:val="32"/>
        </w:rPr>
        <w:t>3、标准曲线的制作</w:t>
      </w:r>
    </w:p>
    <w:p w14:paraId="52F69BF3">
      <w:pPr>
        <w:autoSpaceDE w:val="0"/>
        <w:autoSpaceDN w:val="0"/>
        <w:adjustRightInd w:val="0"/>
        <w:spacing w:line="560" w:lineRule="exact"/>
        <w:ind w:firstLine="640"/>
        <w:jc w:val="left"/>
        <w:rPr>
          <w:rFonts w:ascii="仿宋_GB2312" w:hAnsi="宋体"/>
          <w:szCs w:val="32"/>
        </w:rPr>
      </w:pPr>
      <w:r>
        <w:rPr>
          <w:rFonts w:hint="eastAsia" w:ascii="仿宋_GB2312" w:hAnsi="宋体"/>
          <w:szCs w:val="32"/>
        </w:rPr>
        <w:t>分别精密吸取CurⅠ、CurⅡ、CurⅢ系列标准工作溶液10 μL，注入高效液相色谱仪进行分析（色谱图见图11），以保留时间定性，测定峰面积。以标准系列工作溶液浓度为横坐标，峰面积为纵坐标绘制标准曲线，计算回归方程。</w:t>
      </w:r>
    </w:p>
    <w:p w14:paraId="1CEA23C7">
      <w:pPr>
        <w:pStyle w:val="2"/>
      </w:pPr>
      <w:r>
        <w:drawing>
          <wp:inline distT="0" distB="0" distL="0" distR="0">
            <wp:extent cx="5753100" cy="2803525"/>
            <wp:effectExtent l="0" t="0" r="0" b="0"/>
            <wp:docPr id="10" name="图片 10" descr="C:\Users\panyanyin\Desktop\姜黄素标液图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C:\Users\panyanyin\Desktop\姜黄素标液图谱.jp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5785169" cy="2819225"/>
                    </a:xfrm>
                    <a:prstGeom prst="rect">
                      <a:avLst/>
                    </a:prstGeom>
                    <a:noFill/>
                    <a:ln>
                      <a:noFill/>
                    </a:ln>
                  </pic:spPr>
                </pic:pic>
              </a:graphicData>
            </a:graphic>
          </wp:inline>
        </w:drawing>
      </w:r>
    </w:p>
    <w:p w14:paraId="0DDDD443">
      <w:pPr>
        <w:autoSpaceDE w:val="0"/>
        <w:autoSpaceDN w:val="0"/>
        <w:adjustRightInd w:val="0"/>
        <w:spacing w:line="360" w:lineRule="auto"/>
        <w:ind w:firstLine="0" w:firstLineChars="0"/>
        <w:jc w:val="center"/>
        <w:rPr>
          <w:rFonts w:ascii="仿宋_GB2312" w:hAnsi="宋体"/>
          <w:szCs w:val="32"/>
        </w:rPr>
      </w:pPr>
      <w:r>
        <w:rPr>
          <w:rFonts w:hint="eastAsia" w:eastAsia="黑体"/>
          <w:szCs w:val="32"/>
        </w:rPr>
        <w:t>图11</w:t>
      </w:r>
      <w:r>
        <w:rPr>
          <w:rFonts w:eastAsia="黑体"/>
          <w:szCs w:val="32"/>
        </w:rPr>
        <w:t xml:space="preserve"> </w:t>
      </w:r>
      <w:r>
        <w:rPr>
          <w:rFonts w:hint="eastAsia" w:eastAsia="黑体"/>
          <w:szCs w:val="32"/>
        </w:rPr>
        <w:t xml:space="preserve"> CurⅠ、CurⅡ、CurⅢ混合</w:t>
      </w:r>
      <w:r>
        <w:rPr>
          <w:rFonts w:eastAsia="黑体"/>
          <w:szCs w:val="32"/>
        </w:rPr>
        <w:t>标准溶液色谱图</w:t>
      </w:r>
    </w:p>
    <w:p w14:paraId="15EAD5EF">
      <w:pPr>
        <w:autoSpaceDE w:val="0"/>
        <w:autoSpaceDN w:val="0"/>
        <w:adjustRightInd w:val="0"/>
        <w:spacing w:line="360" w:lineRule="auto"/>
        <w:ind w:firstLine="640"/>
        <w:jc w:val="left"/>
        <w:rPr>
          <w:rFonts w:ascii="仿宋_GB2312" w:hAnsi="宋体"/>
          <w:szCs w:val="32"/>
        </w:rPr>
      </w:pPr>
      <w:r>
        <w:rPr>
          <w:rFonts w:hint="eastAsia" w:ascii="仿宋_GB2312" w:hAnsi="宋体"/>
          <w:szCs w:val="32"/>
        </w:rPr>
        <w:t>4、试样溶液的测定</w:t>
      </w:r>
    </w:p>
    <w:p w14:paraId="049492C2">
      <w:pPr>
        <w:autoSpaceDE w:val="0"/>
        <w:autoSpaceDN w:val="0"/>
        <w:adjustRightInd w:val="0"/>
        <w:spacing w:line="560" w:lineRule="exact"/>
        <w:ind w:firstLine="640"/>
        <w:jc w:val="left"/>
        <w:rPr>
          <w:rFonts w:ascii="仿宋_GB2312" w:hAnsi="宋体"/>
          <w:szCs w:val="32"/>
        </w:rPr>
      </w:pPr>
      <w:r>
        <w:rPr>
          <w:rFonts w:hint="eastAsia" w:ascii="仿宋_GB2312" w:hAnsi="宋体"/>
          <w:szCs w:val="32"/>
        </w:rPr>
        <w:t>在相同色谱条件下，将待测试样溶液分别注入液相色谱仪进行分析（色谱图见图12），以保留时间定性，根据峰面积外标法定量，根据标准曲线回归方程计算待测试样溶液中CurⅠ、CurⅡ、CurⅢ的浓度。</w:t>
      </w:r>
    </w:p>
    <w:p w14:paraId="07A0BF5E">
      <w:pPr>
        <w:pStyle w:val="2"/>
      </w:pPr>
      <w:r>
        <w:drawing>
          <wp:inline distT="0" distB="0" distL="0" distR="0">
            <wp:extent cx="5712460" cy="2886075"/>
            <wp:effectExtent l="0" t="0" r="2540" b="0"/>
            <wp:docPr id="9" name="图片 9" descr="C:\Users\panyanyin\Desktop\姜黄测谱图.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C:\Users\panyanyin\Desktop\姜黄测谱图.jpg"/>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5732808" cy="2896345"/>
                    </a:xfrm>
                    <a:prstGeom prst="rect">
                      <a:avLst/>
                    </a:prstGeom>
                    <a:noFill/>
                    <a:ln>
                      <a:noFill/>
                    </a:ln>
                  </pic:spPr>
                </pic:pic>
              </a:graphicData>
            </a:graphic>
          </wp:inline>
        </w:drawing>
      </w:r>
    </w:p>
    <w:p w14:paraId="45465584">
      <w:pPr>
        <w:autoSpaceDE w:val="0"/>
        <w:autoSpaceDN w:val="0"/>
        <w:adjustRightInd w:val="0"/>
        <w:spacing w:line="560" w:lineRule="exact"/>
        <w:ind w:firstLine="640"/>
        <w:jc w:val="center"/>
        <w:rPr>
          <w:rFonts w:ascii="仿宋_GB2312" w:hAnsi="宋体"/>
          <w:b/>
          <w:szCs w:val="32"/>
        </w:rPr>
      </w:pPr>
      <w:r>
        <w:rPr>
          <w:rFonts w:hint="eastAsia" w:eastAsia="黑体"/>
          <w:szCs w:val="32"/>
        </w:rPr>
        <w:t>图1</w:t>
      </w:r>
      <w:r>
        <w:rPr>
          <w:rFonts w:eastAsia="黑体"/>
          <w:szCs w:val="32"/>
        </w:rPr>
        <w:t xml:space="preserve">2 </w:t>
      </w:r>
      <w:r>
        <w:rPr>
          <w:rFonts w:hint="eastAsia" w:eastAsia="黑体"/>
          <w:szCs w:val="32"/>
        </w:rPr>
        <w:t>试样</w:t>
      </w:r>
      <w:r>
        <w:rPr>
          <w:rFonts w:eastAsia="黑体"/>
          <w:szCs w:val="32"/>
        </w:rPr>
        <w:t>溶液色谱图</w:t>
      </w:r>
    </w:p>
    <w:p w14:paraId="4E577897">
      <w:pPr>
        <w:autoSpaceDE w:val="0"/>
        <w:autoSpaceDN w:val="0"/>
        <w:adjustRightInd w:val="0"/>
        <w:spacing w:line="560" w:lineRule="exact"/>
        <w:ind w:firstLine="640"/>
        <w:rPr>
          <w:rFonts w:ascii="楷体_GB2312" w:hAnsi="宋体" w:eastAsia="楷体_GB2312"/>
          <w:szCs w:val="28"/>
        </w:rPr>
      </w:pPr>
      <w:r>
        <w:rPr>
          <w:rFonts w:hint="eastAsia" w:ascii="楷体_GB2312" w:hAnsi="宋体" w:eastAsia="楷体_GB2312"/>
          <w:szCs w:val="28"/>
        </w:rPr>
        <w:t>（四）实验室间方法确认</w:t>
      </w:r>
    </w:p>
    <w:p w14:paraId="3B39A779">
      <w:pPr>
        <w:autoSpaceDE w:val="0"/>
        <w:autoSpaceDN w:val="0"/>
        <w:adjustRightInd w:val="0"/>
        <w:spacing w:line="560" w:lineRule="exact"/>
        <w:ind w:firstLine="640"/>
        <w:rPr>
          <w:rFonts w:ascii="仿宋_GB2312" w:hAnsi="宋体"/>
          <w:szCs w:val="32"/>
        </w:rPr>
      </w:pPr>
      <w:r>
        <w:rPr>
          <w:rFonts w:hint="eastAsia" w:ascii="仿宋_GB2312" w:hAnsi="宋体"/>
          <w:szCs w:val="32"/>
        </w:rPr>
        <w:t>依据方法标准验证要求，组织玉林市食品药品检验检测中心（以下简称玉林中心）、梧州市食品药品检测所（以下简称梧州所）、广西壮族自治区产品质量检验研究院（以下简称质检院）及广电计量检测（南宁）有限公司（以下简称广电计量）共4家实验室，开展了实验室间方法确认。验证内容包括方法的线性范围、检出限、定量限、精密度、重复性、准确度（回收率）以及实际样品测定。</w:t>
      </w:r>
    </w:p>
    <w:p w14:paraId="68AF1603">
      <w:pPr>
        <w:autoSpaceDE w:val="0"/>
        <w:autoSpaceDN w:val="0"/>
        <w:adjustRightInd w:val="0"/>
        <w:spacing w:line="560" w:lineRule="exact"/>
        <w:ind w:firstLine="640"/>
        <w:jc w:val="left"/>
        <w:rPr>
          <w:rFonts w:ascii="仿宋_GB2312" w:hAnsi="宋体"/>
          <w:szCs w:val="32"/>
        </w:rPr>
      </w:pPr>
      <w:r>
        <w:rPr>
          <w:rFonts w:hint="eastAsia" w:ascii="仿宋_GB2312" w:hAnsi="宋体"/>
          <w:szCs w:val="32"/>
        </w:rPr>
        <w:t>1、标准曲线的线性关系</w:t>
      </w:r>
    </w:p>
    <w:p w14:paraId="7C8E7DFE">
      <w:pPr>
        <w:autoSpaceDE w:val="0"/>
        <w:autoSpaceDN w:val="0"/>
        <w:adjustRightInd w:val="0"/>
        <w:spacing w:line="560" w:lineRule="exact"/>
        <w:ind w:firstLine="640" w:firstLineChars="0"/>
        <w:jc w:val="left"/>
        <w:rPr>
          <w:rFonts w:ascii="仿宋_GB2312" w:hAnsi="宋体"/>
          <w:szCs w:val="32"/>
        </w:rPr>
      </w:pPr>
      <w:r>
        <w:rPr>
          <w:rFonts w:hint="eastAsia" w:ascii="仿宋_GB2312" w:hAnsi="宋体"/>
          <w:szCs w:val="32"/>
        </w:rPr>
        <w:t>分别精密吸取CurⅠ、CurⅡ、CurⅢ系列标准工作溶液10 μL，注入高效液相色谱仪进行分析，依据保留时间定性，并测定其峰面积。以标准工作溶液浓度为横坐标、峰面积为纵坐标绘制标准曲线，并计算回归方程。结果如</w:t>
      </w:r>
      <w:r>
        <w:rPr>
          <w:rFonts w:ascii="仿宋_GB2312" w:hAnsi="宋体"/>
          <w:szCs w:val="32"/>
        </w:rPr>
        <w:t>表</w:t>
      </w:r>
      <w:r>
        <w:rPr>
          <w:rFonts w:hint="eastAsia" w:ascii="仿宋_GB2312" w:hAnsi="宋体"/>
          <w:szCs w:val="32"/>
        </w:rPr>
        <w:t>3所示：4家实验室在各自设定的浓度范围内，CurⅠ、CurⅡ、CurⅢ均呈现良好的线性关系，相关系数r均大于0.999。</w:t>
      </w:r>
    </w:p>
    <w:p w14:paraId="416661C4">
      <w:pPr>
        <w:autoSpaceDE w:val="0"/>
        <w:autoSpaceDN w:val="0"/>
        <w:adjustRightInd w:val="0"/>
        <w:spacing w:after="156" w:afterLines="50" w:line="560" w:lineRule="exact"/>
        <w:ind w:firstLine="0" w:firstLineChars="0"/>
        <w:jc w:val="center"/>
        <w:rPr>
          <w:rFonts w:eastAsia="黑体"/>
          <w:szCs w:val="32"/>
        </w:rPr>
      </w:pPr>
      <w:r>
        <w:rPr>
          <w:rFonts w:hint="eastAsia" w:eastAsia="黑体"/>
          <w:szCs w:val="32"/>
        </w:rPr>
        <w:t>表3：方法标准</w:t>
      </w:r>
      <w:r>
        <w:rPr>
          <w:rFonts w:eastAsia="黑体"/>
          <w:szCs w:val="32"/>
        </w:rPr>
        <w:t>曲线</w:t>
      </w:r>
      <w:r>
        <w:rPr>
          <w:rFonts w:hint="eastAsia" w:eastAsia="黑体"/>
          <w:szCs w:val="32"/>
        </w:rPr>
        <w:t>的相关系数</w:t>
      </w:r>
    </w:p>
    <w:tbl>
      <w:tblPr>
        <w:tblStyle w:val="9"/>
        <w:tblW w:w="91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6"/>
        <w:gridCol w:w="1350"/>
        <w:gridCol w:w="1201"/>
        <w:gridCol w:w="1350"/>
        <w:gridCol w:w="1418"/>
        <w:gridCol w:w="1060"/>
        <w:gridCol w:w="1275"/>
      </w:tblGrid>
      <w:tr w14:paraId="7550D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86" w:type="dxa"/>
            <w:vAlign w:val="center"/>
          </w:tcPr>
          <w:p w14:paraId="57607061">
            <w:pPr>
              <w:ind w:firstLine="0" w:firstLineChars="0"/>
              <w:jc w:val="center"/>
              <w:rPr>
                <w:rFonts w:eastAsia="宋体"/>
                <w:b/>
                <w:sz w:val="24"/>
              </w:rPr>
            </w:pPr>
            <w:r>
              <w:rPr>
                <w:rFonts w:eastAsia="宋体"/>
                <w:b/>
                <w:sz w:val="24"/>
              </w:rPr>
              <w:t>验证机构</w:t>
            </w:r>
          </w:p>
        </w:tc>
        <w:tc>
          <w:tcPr>
            <w:tcW w:w="1350" w:type="dxa"/>
            <w:vAlign w:val="center"/>
          </w:tcPr>
          <w:p w14:paraId="1D8EECBE">
            <w:pPr>
              <w:ind w:firstLine="0" w:firstLineChars="0"/>
              <w:jc w:val="center"/>
              <w:rPr>
                <w:rFonts w:eastAsia="宋体"/>
                <w:b/>
                <w:sz w:val="24"/>
              </w:rPr>
            </w:pPr>
            <w:r>
              <w:rPr>
                <w:rFonts w:eastAsia="宋体"/>
                <w:b/>
                <w:sz w:val="24"/>
              </w:rPr>
              <w:t>玉林中心</w:t>
            </w:r>
          </w:p>
        </w:tc>
        <w:tc>
          <w:tcPr>
            <w:tcW w:w="1201" w:type="dxa"/>
            <w:vAlign w:val="center"/>
          </w:tcPr>
          <w:p w14:paraId="73D23892">
            <w:pPr>
              <w:ind w:firstLine="0" w:firstLineChars="0"/>
              <w:jc w:val="center"/>
              <w:rPr>
                <w:rFonts w:eastAsia="宋体"/>
                <w:b/>
                <w:sz w:val="24"/>
              </w:rPr>
            </w:pPr>
            <w:r>
              <w:rPr>
                <w:rFonts w:eastAsia="宋体"/>
                <w:b/>
                <w:sz w:val="24"/>
              </w:rPr>
              <w:t>梧州所</w:t>
            </w:r>
          </w:p>
        </w:tc>
        <w:tc>
          <w:tcPr>
            <w:tcW w:w="1350" w:type="dxa"/>
            <w:vAlign w:val="center"/>
          </w:tcPr>
          <w:p w14:paraId="4AB12CA9">
            <w:pPr>
              <w:ind w:firstLine="0" w:firstLineChars="0"/>
              <w:jc w:val="center"/>
              <w:rPr>
                <w:rFonts w:eastAsia="宋体"/>
                <w:b/>
                <w:sz w:val="24"/>
              </w:rPr>
            </w:pPr>
            <w:r>
              <w:rPr>
                <w:rFonts w:hint="eastAsia" w:eastAsia="宋体"/>
                <w:b/>
                <w:sz w:val="24"/>
              </w:rPr>
              <w:t>质检院</w:t>
            </w:r>
          </w:p>
        </w:tc>
        <w:tc>
          <w:tcPr>
            <w:tcW w:w="1418" w:type="dxa"/>
            <w:vAlign w:val="center"/>
          </w:tcPr>
          <w:p w14:paraId="684CC666">
            <w:pPr>
              <w:ind w:firstLine="0" w:firstLineChars="0"/>
              <w:jc w:val="center"/>
              <w:rPr>
                <w:rFonts w:eastAsia="宋体"/>
                <w:b/>
                <w:sz w:val="24"/>
              </w:rPr>
            </w:pPr>
            <w:r>
              <w:rPr>
                <w:rFonts w:hint="eastAsia" w:eastAsia="宋体"/>
                <w:b/>
                <w:sz w:val="24"/>
              </w:rPr>
              <w:t>广电计量</w:t>
            </w:r>
          </w:p>
        </w:tc>
        <w:tc>
          <w:tcPr>
            <w:tcW w:w="1060" w:type="dxa"/>
            <w:vAlign w:val="center"/>
          </w:tcPr>
          <w:p w14:paraId="55D18F55">
            <w:pPr>
              <w:ind w:firstLine="0" w:firstLineChars="0"/>
              <w:jc w:val="center"/>
              <w:rPr>
                <w:rFonts w:eastAsia="宋体"/>
                <w:b/>
                <w:sz w:val="24"/>
              </w:rPr>
            </w:pPr>
            <w:r>
              <w:rPr>
                <w:rFonts w:hint="eastAsia" w:eastAsia="宋体"/>
                <w:b/>
                <w:sz w:val="24"/>
              </w:rPr>
              <w:t>平均值</w:t>
            </w:r>
          </w:p>
        </w:tc>
        <w:tc>
          <w:tcPr>
            <w:tcW w:w="1275" w:type="dxa"/>
            <w:vAlign w:val="center"/>
          </w:tcPr>
          <w:p w14:paraId="5D247286">
            <w:pPr>
              <w:ind w:firstLine="0" w:firstLineChars="0"/>
              <w:jc w:val="center"/>
              <w:rPr>
                <w:rFonts w:eastAsia="宋体"/>
                <w:b/>
                <w:sz w:val="24"/>
              </w:rPr>
            </w:pPr>
            <w:r>
              <w:rPr>
                <w:rFonts w:hint="eastAsia" w:eastAsia="宋体"/>
                <w:b/>
                <w:sz w:val="24"/>
              </w:rPr>
              <w:t>RSD(%)</w:t>
            </w:r>
          </w:p>
        </w:tc>
      </w:tr>
      <w:tr w14:paraId="7F585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86" w:type="dxa"/>
            <w:vAlign w:val="center"/>
          </w:tcPr>
          <w:p w14:paraId="2530B080">
            <w:pPr>
              <w:ind w:firstLine="0" w:firstLineChars="0"/>
              <w:jc w:val="center"/>
              <w:rPr>
                <w:rFonts w:eastAsia="宋体"/>
                <w:sz w:val="24"/>
              </w:rPr>
            </w:pPr>
            <w:r>
              <w:rPr>
                <w:rFonts w:hint="eastAsia" w:eastAsia="宋体"/>
                <w:sz w:val="24"/>
              </w:rPr>
              <w:t>CurⅠ</w:t>
            </w:r>
          </w:p>
        </w:tc>
        <w:tc>
          <w:tcPr>
            <w:tcW w:w="1350" w:type="dxa"/>
            <w:vAlign w:val="center"/>
          </w:tcPr>
          <w:p w14:paraId="386BCA9A">
            <w:pPr>
              <w:ind w:firstLine="0" w:firstLineChars="0"/>
              <w:jc w:val="center"/>
              <w:rPr>
                <w:rFonts w:eastAsia="宋体"/>
                <w:sz w:val="24"/>
              </w:rPr>
            </w:pPr>
            <w:r>
              <w:rPr>
                <w:sz w:val="24"/>
              </w:rPr>
              <w:t>0.9995</w:t>
            </w:r>
          </w:p>
        </w:tc>
        <w:tc>
          <w:tcPr>
            <w:tcW w:w="1201" w:type="dxa"/>
            <w:vAlign w:val="center"/>
          </w:tcPr>
          <w:p w14:paraId="5802FF6D">
            <w:pPr>
              <w:ind w:firstLine="0" w:firstLineChars="0"/>
              <w:jc w:val="center"/>
              <w:rPr>
                <w:rFonts w:eastAsia="宋体"/>
                <w:sz w:val="24"/>
              </w:rPr>
            </w:pPr>
            <w:r>
              <w:rPr>
                <w:sz w:val="24"/>
              </w:rPr>
              <w:t>0.9993</w:t>
            </w:r>
          </w:p>
        </w:tc>
        <w:tc>
          <w:tcPr>
            <w:tcW w:w="1350" w:type="dxa"/>
            <w:vAlign w:val="center"/>
          </w:tcPr>
          <w:p w14:paraId="3EBA9B0E">
            <w:pPr>
              <w:ind w:firstLine="0" w:firstLineChars="0"/>
              <w:jc w:val="center"/>
              <w:rPr>
                <w:rFonts w:eastAsia="宋体"/>
                <w:sz w:val="24"/>
              </w:rPr>
            </w:pPr>
            <w:r>
              <w:rPr>
                <w:rFonts w:eastAsia="宋体"/>
                <w:sz w:val="24"/>
              </w:rPr>
              <w:t>0.9999</w:t>
            </w:r>
          </w:p>
        </w:tc>
        <w:tc>
          <w:tcPr>
            <w:tcW w:w="1418" w:type="dxa"/>
            <w:vAlign w:val="center"/>
          </w:tcPr>
          <w:p w14:paraId="0FBADB08">
            <w:pPr>
              <w:ind w:firstLine="0" w:firstLineChars="0"/>
              <w:jc w:val="center"/>
              <w:rPr>
                <w:rFonts w:eastAsia="宋体"/>
                <w:sz w:val="24"/>
              </w:rPr>
            </w:pPr>
            <w:r>
              <w:rPr>
                <w:sz w:val="24"/>
              </w:rPr>
              <w:t>0.9999</w:t>
            </w:r>
          </w:p>
        </w:tc>
        <w:tc>
          <w:tcPr>
            <w:tcW w:w="1060" w:type="dxa"/>
          </w:tcPr>
          <w:p w14:paraId="6C93CAF4">
            <w:pPr>
              <w:ind w:firstLine="0" w:firstLineChars="0"/>
              <w:rPr>
                <w:sz w:val="24"/>
              </w:rPr>
            </w:pPr>
            <w:r>
              <w:rPr>
                <w:sz w:val="24"/>
              </w:rPr>
              <w:t>0.9997</w:t>
            </w:r>
          </w:p>
        </w:tc>
        <w:tc>
          <w:tcPr>
            <w:tcW w:w="1275" w:type="dxa"/>
            <w:vAlign w:val="center"/>
          </w:tcPr>
          <w:p w14:paraId="64265BBB">
            <w:pPr>
              <w:ind w:firstLine="0" w:firstLineChars="0"/>
              <w:jc w:val="center"/>
              <w:rPr>
                <w:rFonts w:eastAsia="宋体"/>
                <w:sz w:val="24"/>
              </w:rPr>
            </w:pPr>
            <w:r>
              <w:rPr>
                <w:rFonts w:hint="eastAsia" w:eastAsia="宋体"/>
                <w:sz w:val="24"/>
              </w:rPr>
              <w:t>0.03</w:t>
            </w:r>
          </w:p>
        </w:tc>
      </w:tr>
      <w:tr w14:paraId="2B277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86" w:type="dxa"/>
            <w:vAlign w:val="center"/>
          </w:tcPr>
          <w:p w14:paraId="63115732">
            <w:pPr>
              <w:ind w:firstLine="0" w:firstLineChars="0"/>
              <w:jc w:val="center"/>
              <w:rPr>
                <w:rFonts w:eastAsia="宋体"/>
                <w:sz w:val="24"/>
              </w:rPr>
            </w:pPr>
            <w:r>
              <w:rPr>
                <w:rFonts w:hint="eastAsia" w:eastAsia="宋体"/>
                <w:sz w:val="24"/>
              </w:rPr>
              <w:t>CurⅡ</w:t>
            </w:r>
          </w:p>
        </w:tc>
        <w:tc>
          <w:tcPr>
            <w:tcW w:w="1350" w:type="dxa"/>
            <w:vAlign w:val="center"/>
          </w:tcPr>
          <w:p w14:paraId="02024F07">
            <w:pPr>
              <w:ind w:firstLine="0" w:firstLineChars="0"/>
              <w:jc w:val="center"/>
              <w:rPr>
                <w:rFonts w:eastAsia="宋体"/>
                <w:sz w:val="24"/>
              </w:rPr>
            </w:pPr>
            <w:r>
              <w:rPr>
                <w:sz w:val="24"/>
              </w:rPr>
              <w:t>0.9994</w:t>
            </w:r>
          </w:p>
        </w:tc>
        <w:tc>
          <w:tcPr>
            <w:tcW w:w="1201" w:type="dxa"/>
            <w:vAlign w:val="center"/>
          </w:tcPr>
          <w:p w14:paraId="63CAD898">
            <w:pPr>
              <w:ind w:firstLine="0" w:firstLineChars="0"/>
              <w:jc w:val="center"/>
              <w:rPr>
                <w:rFonts w:eastAsia="宋体"/>
                <w:sz w:val="24"/>
              </w:rPr>
            </w:pPr>
            <w:r>
              <w:rPr>
                <w:sz w:val="24"/>
              </w:rPr>
              <w:t>0.9993</w:t>
            </w:r>
          </w:p>
        </w:tc>
        <w:tc>
          <w:tcPr>
            <w:tcW w:w="1350" w:type="dxa"/>
            <w:vAlign w:val="center"/>
          </w:tcPr>
          <w:p w14:paraId="52B08CC8">
            <w:pPr>
              <w:ind w:firstLine="0" w:firstLineChars="0"/>
              <w:jc w:val="center"/>
              <w:rPr>
                <w:rFonts w:eastAsia="宋体"/>
                <w:sz w:val="24"/>
              </w:rPr>
            </w:pPr>
            <w:r>
              <w:rPr>
                <w:sz w:val="24"/>
              </w:rPr>
              <w:t>0.9999</w:t>
            </w:r>
          </w:p>
        </w:tc>
        <w:tc>
          <w:tcPr>
            <w:tcW w:w="1418" w:type="dxa"/>
            <w:vAlign w:val="center"/>
          </w:tcPr>
          <w:p w14:paraId="3DAF8AD4">
            <w:pPr>
              <w:ind w:firstLine="0" w:firstLineChars="0"/>
              <w:jc w:val="center"/>
              <w:rPr>
                <w:rFonts w:eastAsia="宋体"/>
                <w:sz w:val="24"/>
              </w:rPr>
            </w:pPr>
            <w:r>
              <w:rPr>
                <w:sz w:val="24"/>
              </w:rPr>
              <w:t>0.9999</w:t>
            </w:r>
          </w:p>
        </w:tc>
        <w:tc>
          <w:tcPr>
            <w:tcW w:w="1060" w:type="dxa"/>
          </w:tcPr>
          <w:p w14:paraId="435D3DED">
            <w:pPr>
              <w:ind w:firstLine="0" w:firstLineChars="0"/>
              <w:rPr>
                <w:sz w:val="24"/>
              </w:rPr>
            </w:pPr>
            <w:r>
              <w:rPr>
                <w:sz w:val="24"/>
              </w:rPr>
              <w:t>0.9996</w:t>
            </w:r>
          </w:p>
        </w:tc>
        <w:tc>
          <w:tcPr>
            <w:tcW w:w="1275" w:type="dxa"/>
            <w:vAlign w:val="center"/>
          </w:tcPr>
          <w:p w14:paraId="6CEC7F75">
            <w:pPr>
              <w:ind w:firstLine="0" w:firstLineChars="0"/>
              <w:jc w:val="center"/>
              <w:rPr>
                <w:rFonts w:eastAsia="宋体"/>
                <w:sz w:val="24"/>
              </w:rPr>
            </w:pPr>
            <w:r>
              <w:rPr>
                <w:rFonts w:hint="eastAsia" w:eastAsia="宋体"/>
                <w:sz w:val="24"/>
              </w:rPr>
              <w:t>0.03</w:t>
            </w:r>
          </w:p>
        </w:tc>
      </w:tr>
      <w:tr w14:paraId="53D40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86" w:type="dxa"/>
            <w:vAlign w:val="center"/>
          </w:tcPr>
          <w:p w14:paraId="3AEF714D">
            <w:pPr>
              <w:ind w:firstLine="0" w:firstLineChars="0"/>
              <w:jc w:val="center"/>
              <w:rPr>
                <w:rFonts w:eastAsia="宋体"/>
                <w:sz w:val="24"/>
              </w:rPr>
            </w:pPr>
            <w:r>
              <w:rPr>
                <w:rFonts w:hint="eastAsia" w:eastAsia="宋体"/>
                <w:sz w:val="24"/>
              </w:rPr>
              <w:t>CurⅢ</w:t>
            </w:r>
          </w:p>
        </w:tc>
        <w:tc>
          <w:tcPr>
            <w:tcW w:w="1350" w:type="dxa"/>
            <w:vAlign w:val="center"/>
          </w:tcPr>
          <w:p w14:paraId="2A68B861">
            <w:pPr>
              <w:ind w:firstLine="0" w:firstLineChars="0"/>
              <w:jc w:val="center"/>
              <w:rPr>
                <w:rFonts w:eastAsia="宋体"/>
                <w:sz w:val="24"/>
              </w:rPr>
            </w:pPr>
            <w:r>
              <w:rPr>
                <w:color w:val="000000"/>
                <w:sz w:val="24"/>
              </w:rPr>
              <w:t>0.9994</w:t>
            </w:r>
          </w:p>
        </w:tc>
        <w:tc>
          <w:tcPr>
            <w:tcW w:w="1201" w:type="dxa"/>
            <w:vAlign w:val="center"/>
          </w:tcPr>
          <w:p w14:paraId="561F6562">
            <w:pPr>
              <w:ind w:firstLine="0" w:firstLineChars="0"/>
              <w:jc w:val="center"/>
              <w:rPr>
                <w:rFonts w:eastAsia="宋体"/>
                <w:sz w:val="24"/>
              </w:rPr>
            </w:pPr>
            <w:r>
              <w:rPr>
                <w:color w:val="000000"/>
                <w:sz w:val="24"/>
              </w:rPr>
              <w:t>0.9993</w:t>
            </w:r>
          </w:p>
        </w:tc>
        <w:tc>
          <w:tcPr>
            <w:tcW w:w="1350" w:type="dxa"/>
            <w:vAlign w:val="center"/>
          </w:tcPr>
          <w:p w14:paraId="0B1442FA">
            <w:pPr>
              <w:ind w:firstLine="0" w:firstLineChars="0"/>
              <w:jc w:val="center"/>
              <w:rPr>
                <w:rFonts w:eastAsia="宋体"/>
                <w:sz w:val="24"/>
              </w:rPr>
            </w:pPr>
            <w:r>
              <w:rPr>
                <w:sz w:val="24"/>
              </w:rPr>
              <w:t>0.9999</w:t>
            </w:r>
          </w:p>
        </w:tc>
        <w:tc>
          <w:tcPr>
            <w:tcW w:w="1418" w:type="dxa"/>
            <w:vAlign w:val="center"/>
          </w:tcPr>
          <w:p w14:paraId="21509D83">
            <w:pPr>
              <w:ind w:firstLine="0" w:firstLineChars="0"/>
              <w:jc w:val="center"/>
              <w:rPr>
                <w:rFonts w:eastAsia="宋体"/>
                <w:sz w:val="24"/>
              </w:rPr>
            </w:pPr>
            <w:r>
              <w:rPr>
                <w:sz w:val="24"/>
              </w:rPr>
              <w:t>0.9999</w:t>
            </w:r>
          </w:p>
        </w:tc>
        <w:tc>
          <w:tcPr>
            <w:tcW w:w="1060" w:type="dxa"/>
          </w:tcPr>
          <w:p w14:paraId="73D11932">
            <w:pPr>
              <w:ind w:firstLine="0" w:firstLineChars="0"/>
              <w:rPr>
                <w:sz w:val="24"/>
              </w:rPr>
            </w:pPr>
            <w:r>
              <w:rPr>
                <w:sz w:val="24"/>
              </w:rPr>
              <w:t>0.9996</w:t>
            </w:r>
          </w:p>
        </w:tc>
        <w:tc>
          <w:tcPr>
            <w:tcW w:w="1275" w:type="dxa"/>
            <w:vAlign w:val="center"/>
          </w:tcPr>
          <w:p w14:paraId="5E3D3635">
            <w:pPr>
              <w:ind w:firstLine="0" w:firstLineChars="0"/>
              <w:jc w:val="center"/>
              <w:rPr>
                <w:rFonts w:eastAsia="宋体"/>
                <w:sz w:val="24"/>
              </w:rPr>
            </w:pPr>
            <w:r>
              <w:rPr>
                <w:rFonts w:hint="eastAsia" w:eastAsia="宋体"/>
                <w:sz w:val="24"/>
              </w:rPr>
              <w:t>0.03</w:t>
            </w:r>
          </w:p>
        </w:tc>
      </w:tr>
    </w:tbl>
    <w:p w14:paraId="62A1B756">
      <w:pPr>
        <w:pStyle w:val="2"/>
        <w:ind w:firstLine="640" w:firstLineChars="200"/>
        <w:rPr>
          <w:rFonts w:ascii="仿宋_GB2312" w:hAnsi="宋体" w:eastAsia="仿宋_GB2312" w:cs="Times New Roman"/>
          <w:color w:val="auto"/>
          <w:kern w:val="2"/>
          <w:sz w:val="32"/>
          <w:szCs w:val="32"/>
        </w:rPr>
      </w:pPr>
      <w:r>
        <w:rPr>
          <w:rFonts w:hint="eastAsia" w:ascii="仿宋_GB2312" w:hAnsi="宋体" w:eastAsia="仿宋_GB2312" w:cs="Times New Roman"/>
          <w:color w:val="auto"/>
          <w:kern w:val="2"/>
          <w:sz w:val="32"/>
          <w:szCs w:val="32"/>
        </w:rPr>
        <w:t>2、方法的定量限</w:t>
      </w:r>
    </w:p>
    <w:p w14:paraId="3B668DDD">
      <w:pPr>
        <w:pStyle w:val="2"/>
        <w:ind w:firstLine="640" w:firstLineChars="200"/>
        <w:rPr>
          <w:rFonts w:ascii="仿宋_GB2312" w:hAnsi="宋体" w:eastAsia="仿宋_GB2312" w:cs="Times New Roman"/>
          <w:color w:val="auto"/>
          <w:kern w:val="2"/>
          <w:sz w:val="32"/>
          <w:szCs w:val="32"/>
        </w:rPr>
      </w:pPr>
      <w:r>
        <w:rPr>
          <w:rFonts w:hint="eastAsia" w:ascii="仿宋_GB2312" w:hAnsi="宋体" w:eastAsia="仿宋_GB2312" w:cs="Times New Roman"/>
          <w:color w:val="auto"/>
          <w:kern w:val="2"/>
          <w:sz w:val="32"/>
          <w:szCs w:val="32"/>
        </w:rPr>
        <w:t>定量限采用标准曲线法，根据仪器自动计算选定色谱峰的信噪比（S/N），以S/N≥10且满足定性要求的最低添加样品浓度作为定量限。4家实验室测得的CurⅠ、CurⅡ、CurⅢ定量限平均值分别为0.006%、0.005%、0.005%。按照GB/T 32465-2015 化学分析方法验证确认和内部质量控制要求，确定CurⅠ、CurⅡ、CurⅢ方法定量限均为0.01%。</w:t>
      </w:r>
    </w:p>
    <w:p w14:paraId="761E76EA">
      <w:pPr>
        <w:pStyle w:val="2"/>
        <w:jc w:val="center"/>
        <w:rPr>
          <w:sz w:val="32"/>
          <w:szCs w:val="32"/>
        </w:rPr>
      </w:pPr>
      <w:r>
        <w:rPr>
          <w:rFonts w:hint="eastAsia" w:eastAsia="黑体"/>
          <w:sz w:val="32"/>
          <w:szCs w:val="32"/>
        </w:rPr>
        <w:t>表4：方法的定量限</w:t>
      </w:r>
    </w:p>
    <w:tbl>
      <w:tblPr>
        <w:tblStyle w:val="9"/>
        <w:tblW w:w="85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9"/>
        <w:gridCol w:w="1395"/>
        <w:gridCol w:w="1298"/>
        <w:gridCol w:w="1418"/>
        <w:gridCol w:w="1417"/>
        <w:gridCol w:w="1229"/>
      </w:tblGrid>
      <w:tr w14:paraId="117A7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69" w:type="dxa"/>
            <w:vAlign w:val="center"/>
          </w:tcPr>
          <w:p w14:paraId="37E1A093">
            <w:pPr>
              <w:ind w:firstLine="0" w:firstLineChars="0"/>
              <w:jc w:val="center"/>
              <w:rPr>
                <w:rFonts w:eastAsia="宋体"/>
                <w:b/>
                <w:sz w:val="24"/>
              </w:rPr>
            </w:pPr>
            <w:r>
              <w:rPr>
                <w:rFonts w:eastAsia="宋体"/>
                <w:b/>
                <w:sz w:val="24"/>
              </w:rPr>
              <w:t>验证机构</w:t>
            </w:r>
          </w:p>
        </w:tc>
        <w:tc>
          <w:tcPr>
            <w:tcW w:w="1395" w:type="dxa"/>
            <w:vAlign w:val="center"/>
          </w:tcPr>
          <w:p w14:paraId="594668AE">
            <w:pPr>
              <w:spacing w:line="360" w:lineRule="auto"/>
              <w:ind w:firstLine="0" w:firstLineChars="0"/>
              <w:jc w:val="center"/>
              <w:rPr>
                <w:rFonts w:eastAsia="宋体"/>
                <w:b/>
                <w:sz w:val="24"/>
              </w:rPr>
            </w:pPr>
            <w:r>
              <w:rPr>
                <w:rFonts w:eastAsia="宋体"/>
                <w:b/>
                <w:sz w:val="24"/>
              </w:rPr>
              <w:t>玉林中心</w:t>
            </w:r>
          </w:p>
        </w:tc>
        <w:tc>
          <w:tcPr>
            <w:tcW w:w="1298" w:type="dxa"/>
            <w:vAlign w:val="center"/>
          </w:tcPr>
          <w:p w14:paraId="6F16C337">
            <w:pPr>
              <w:spacing w:line="360" w:lineRule="auto"/>
              <w:ind w:firstLine="0" w:firstLineChars="0"/>
              <w:jc w:val="center"/>
              <w:rPr>
                <w:rFonts w:eastAsia="宋体"/>
                <w:b/>
                <w:sz w:val="24"/>
              </w:rPr>
            </w:pPr>
            <w:r>
              <w:rPr>
                <w:rFonts w:eastAsia="宋体"/>
                <w:b/>
                <w:sz w:val="24"/>
              </w:rPr>
              <w:t>梧州所</w:t>
            </w:r>
          </w:p>
        </w:tc>
        <w:tc>
          <w:tcPr>
            <w:tcW w:w="1418" w:type="dxa"/>
            <w:vAlign w:val="center"/>
          </w:tcPr>
          <w:p w14:paraId="1F5F7C00">
            <w:pPr>
              <w:spacing w:line="360" w:lineRule="auto"/>
              <w:ind w:firstLine="0" w:firstLineChars="0"/>
              <w:jc w:val="center"/>
              <w:rPr>
                <w:rFonts w:eastAsia="宋体"/>
                <w:b/>
                <w:sz w:val="24"/>
              </w:rPr>
            </w:pPr>
            <w:r>
              <w:rPr>
                <w:rFonts w:hint="eastAsia" w:eastAsia="宋体"/>
                <w:b/>
                <w:sz w:val="24"/>
              </w:rPr>
              <w:t>质检院</w:t>
            </w:r>
          </w:p>
        </w:tc>
        <w:tc>
          <w:tcPr>
            <w:tcW w:w="1417" w:type="dxa"/>
            <w:vAlign w:val="center"/>
          </w:tcPr>
          <w:p w14:paraId="31B430CB">
            <w:pPr>
              <w:spacing w:line="360" w:lineRule="auto"/>
              <w:ind w:firstLine="0" w:firstLineChars="0"/>
              <w:jc w:val="center"/>
              <w:rPr>
                <w:rFonts w:eastAsia="宋体"/>
                <w:b/>
                <w:sz w:val="24"/>
              </w:rPr>
            </w:pPr>
            <w:r>
              <w:rPr>
                <w:rFonts w:hint="eastAsia" w:eastAsia="宋体"/>
                <w:b/>
                <w:sz w:val="24"/>
              </w:rPr>
              <w:t>广电计量</w:t>
            </w:r>
          </w:p>
        </w:tc>
        <w:tc>
          <w:tcPr>
            <w:tcW w:w="1229" w:type="dxa"/>
            <w:vAlign w:val="center"/>
          </w:tcPr>
          <w:p w14:paraId="3CB41217">
            <w:pPr>
              <w:spacing w:line="360" w:lineRule="auto"/>
              <w:ind w:firstLine="0" w:firstLineChars="0"/>
              <w:jc w:val="center"/>
              <w:rPr>
                <w:rFonts w:eastAsia="宋体"/>
                <w:b/>
                <w:sz w:val="24"/>
              </w:rPr>
            </w:pPr>
            <w:r>
              <w:rPr>
                <w:rFonts w:hint="eastAsia" w:eastAsia="宋体"/>
                <w:b/>
                <w:sz w:val="24"/>
              </w:rPr>
              <w:t>平均值</w:t>
            </w:r>
          </w:p>
        </w:tc>
      </w:tr>
      <w:tr w14:paraId="40F8D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69" w:type="dxa"/>
            <w:vAlign w:val="center"/>
          </w:tcPr>
          <w:p w14:paraId="7D8D294D">
            <w:pPr>
              <w:ind w:firstLine="0" w:firstLineChars="0"/>
              <w:jc w:val="center"/>
              <w:rPr>
                <w:rFonts w:eastAsia="宋体"/>
                <w:sz w:val="24"/>
              </w:rPr>
            </w:pPr>
            <w:r>
              <w:rPr>
                <w:rFonts w:hint="eastAsia" w:eastAsia="宋体"/>
                <w:sz w:val="24"/>
              </w:rPr>
              <w:t>CurⅠ</w:t>
            </w:r>
          </w:p>
        </w:tc>
        <w:tc>
          <w:tcPr>
            <w:tcW w:w="1395" w:type="dxa"/>
            <w:vAlign w:val="center"/>
          </w:tcPr>
          <w:p w14:paraId="5510E54C">
            <w:pPr>
              <w:ind w:firstLine="0" w:firstLineChars="0"/>
              <w:jc w:val="center"/>
              <w:rPr>
                <w:rFonts w:eastAsia="宋体"/>
                <w:sz w:val="24"/>
              </w:rPr>
            </w:pPr>
            <w:r>
              <w:rPr>
                <w:sz w:val="24"/>
              </w:rPr>
              <w:t>0.007</w:t>
            </w:r>
          </w:p>
        </w:tc>
        <w:tc>
          <w:tcPr>
            <w:tcW w:w="1298" w:type="dxa"/>
            <w:vAlign w:val="center"/>
          </w:tcPr>
          <w:p w14:paraId="79C0E816">
            <w:pPr>
              <w:ind w:firstLine="0" w:firstLineChars="0"/>
              <w:jc w:val="center"/>
              <w:rPr>
                <w:rFonts w:eastAsia="宋体"/>
                <w:sz w:val="24"/>
              </w:rPr>
            </w:pPr>
            <w:r>
              <w:rPr>
                <w:rFonts w:hint="eastAsia" w:eastAsia="宋体"/>
                <w:sz w:val="24"/>
              </w:rPr>
              <w:t>0.006</w:t>
            </w:r>
          </w:p>
        </w:tc>
        <w:tc>
          <w:tcPr>
            <w:tcW w:w="1418" w:type="dxa"/>
            <w:vAlign w:val="center"/>
          </w:tcPr>
          <w:p w14:paraId="33B7C3CA">
            <w:pPr>
              <w:ind w:firstLine="0" w:firstLineChars="0"/>
              <w:jc w:val="center"/>
              <w:rPr>
                <w:rFonts w:eastAsia="宋体"/>
                <w:sz w:val="24"/>
              </w:rPr>
            </w:pPr>
            <w:r>
              <w:rPr>
                <w:rFonts w:hint="eastAsia" w:eastAsia="宋体"/>
                <w:sz w:val="24"/>
              </w:rPr>
              <w:t>0.005</w:t>
            </w:r>
          </w:p>
        </w:tc>
        <w:tc>
          <w:tcPr>
            <w:tcW w:w="1417" w:type="dxa"/>
            <w:vAlign w:val="center"/>
          </w:tcPr>
          <w:p w14:paraId="5C2FFAD1">
            <w:pPr>
              <w:ind w:firstLine="0" w:firstLineChars="0"/>
              <w:jc w:val="center"/>
              <w:rPr>
                <w:rFonts w:eastAsia="宋体"/>
                <w:sz w:val="24"/>
              </w:rPr>
            </w:pPr>
            <w:r>
              <w:rPr>
                <w:rFonts w:hint="eastAsia" w:eastAsia="宋体"/>
                <w:sz w:val="24"/>
              </w:rPr>
              <w:t>0.006</w:t>
            </w:r>
          </w:p>
        </w:tc>
        <w:tc>
          <w:tcPr>
            <w:tcW w:w="1229" w:type="dxa"/>
            <w:vAlign w:val="center"/>
          </w:tcPr>
          <w:p w14:paraId="50D9378E">
            <w:pPr>
              <w:ind w:firstLine="0" w:firstLineChars="0"/>
              <w:jc w:val="center"/>
              <w:rPr>
                <w:rFonts w:eastAsia="宋体"/>
                <w:sz w:val="24"/>
              </w:rPr>
            </w:pPr>
            <w:r>
              <w:rPr>
                <w:rFonts w:hint="eastAsia" w:eastAsia="宋体"/>
                <w:sz w:val="24"/>
              </w:rPr>
              <w:t>0.006</w:t>
            </w:r>
          </w:p>
        </w:tc>
      </w:tr>
      <w:tr w14:paraId="02E40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69" w:type="dxa"/>
            <w:vAlign w:val="center"/>
          </w:tcPr>
          <w:p w14:paraId="49B20452">
            <w:pPr>
              <w:ind w:firstLine="0" w:firstLineChars="0"/>
              <w:jc w:val="center"/>
              <w:rPr>
                <w:rFonts w:eastAsia="宋体"/>
                <w:sz w:val="24"/>
              </w:rPr>
            </w:pPr>
            <w:r>
              <w:rPr>
                <w:rFonts w:hint="eastAsia" w:eastAsia="宋体"/>
                <w:sz w:val="24"/>
              </w:rPr>
              <w:t>CurⅡ</w:t>
            </w:r>
          </w:p>
        </w:tc>
        <w:tc>
          <w:tcPr>
            <w:tcW w:w="1395" w:type="dxa"/>
            <w:vAlign w:val="center"/>
          </w:tcPr>
          <w:p w14:paraId="690C4D39">
            <w:pPr>
              <w:ind w:firstLine="0" w:firstLineChars="0"/>
              <w:jc w:val="center"/>
              <w:rPr>
                <w:rFonts w:eastAsia="宋体"/>
                <w:sz w:val="24"/>
              </w:rPr>
            </w:pPr>
            <w:r>
              <w:rPr>
                <w:rFonts w:hint="eastAsia"/>
                <w:sz w:val="24"/>
              </w:rPr>
              <w:t>0.00</w:t>
            </w:r>
            <w:r>
              <w:rPr>
                <w:sz w:val="24"/>
              </w:rPr>
              <w:t>6</w:t>
            </w:r>
          </w:p>
        </w:tc>
        <w:tc>
          <w:tcPr>
            <w:tcW w:w="1298" w:type="dxa"/>
            <w:vAlign w:val="center"/>
          </w:tcPr>
          <w:p w14:paraId="513D5E7E">
            <w:pPr>
              <w:ind w:firstLine="0" w:firstLineChars="0"/>
              <w:jc w:val="center"/>
              <w:rPr>
                <w:rFonts w:eastAsia="宋体"/>
                <w:sz w:val="24"/>
              </w:rPr>
            </w:pPr>
            <w:r>
              <w:rPr>
                <w:rFonts w:hint="eastAsia" w:eastAsia="宋体"/>
                <w:sz w:val="24"/>
              </w:rPr>
              <w:t>0.005</w:t>
            </w:r>
          </w:p>
        </w:tc>
        <w:tc>
          <w:tcPr>
            <w:tcW w:w="1418" w:type="dxa"/>
            <w:vAlign w:val="center"/>
          </w:tcPr>
          <w:p w14:paraId="6F347ED2">
            <w:pPr>
              <w:ind w:firstLine="0" w:firstLineChars="0"/>
              <w:jc w:val="center"/>
              <w:rPr>
                <w:rFonts w:eastAsia="宋体"/>
                <w:sz w:val="24"/>
              </w:rPr>
            </w:pPr>
            <w:r>
              <w:rPr>
                <w:rFonts w:hint="eastAsia" w:eastAsia="宋体"/>
                <w:sz w:val="24"/>
              </w:rPr>
              <w:t>0.005</w:t>
            </w:r>
          </w:p>
        </w:tc>
        <w:tc>
          <w:tcPr>
            <w:tcW w:w="1417" w:type="dxa"/>
            <w:vAlign w:val="center"/>
          </w:tcPr>
          <w:p w14:paraId="26C16CB7">
            <w:pPr>
              <w:ind w:firstLine="0" w:firstLineChars="0"/>
              <w:jc w:val="center"/>
              <w:rPr>
                <w:rFonts w:eastAsia="宋体"/>
                <w:sz w:val="24"/>
              </w:rPr>
            </w:pPr>
            <w:r>
              <w:rPr>
                <w:rFonts w:hint="eastAsia" w:eastAsia="宋体"/>
                <w:sz w:val="24"/>
              </w:rPr>
              <w:t>0.005</w:t>
            </w:r>
          </w:p>
        </w:tc>
        <w:tc>
          <w:tcPr>
            <w:tcW w:w="1229" w:type="dxa"/>
            <w:vAlign w:val="center"/>
          </w:tcPr>
          <w:p w14:paraId="6F9F202C">
            <w:pPr>
              <w:ind w:firstLine="0" w:firstLineChars="0"/>
              <w:jc w:val="center"/>
              <w:rPr>
                <w:rFonts w:eastAsia="宋体"/>
                <w:sz w:val="24"/>
              </w:rPr>
            </w:pPr>
            <w:r>
              <w:rPr>
                <w:rFonts w:hint="eastAsia" w:eastAsia="宋体"/>
                <w:sz w:val="24"/>
              </w:rPr>
              <w:t>0.005</w:t>
            </w:r>
          </w:p>
        </w:tc>
      </w:tr>
      <w:tr w14:paraId="08391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69" w:type="dxa"/>
            <w:vAlign w:val="center"/>
          </w:tcPr>
          <w:p w14:paraId="5C64FF4E">
            <w:pPr>
              <w:ind w:firstLine="0" w:firstLineChars="0"/>
              <w:jc w:val="center"/>
              <w:rPr>
                <w:rFonts w:eastAsia="宋体"/>
                <w:sz w:val="24"/>
              </w:rPr>
            </w:pPr>
            <w:r>
              <w:rPr>
                <w:rFonts w:hint="eastAsia" w:eastAsia="宋体"/>
                <w:sz w:val="24"/>
              </w:rPr>
              <w:t>CurⅢ</w:t>
            </w:r>
          </w:p>
        </w:tc>
        <w:tc>
          <w:tcPr>
            <w:tcW w:w="1395" w:type="dxa"/>
            <w:vAlign w:val="center"/>
          </w:tcPr>
          <w:p w14:paraId="08A9F9AE">
            <w:pPr>
              <w:ind w:firstLine="0" w:firstLineChars="0"/>
              <w:jc w:val="center"/>
              <w:rPr>
                <w:rFonts w:eastAsia="宋体"/>
                <w:sz w:val="24"/>
              </w:rPr>
            </w:pPr>
            <w:r>
              <w:rPr>
                <w:sz w:val="24"/>
              </w:rPr>
              <w:t>0.005</w:t>
            </w:r>
          </w:p>
        </w:tc>
        <w:tc>
          <w:tcPr>
            <w:tcW w:w="1298" w:type="dxa"/>
            <w:vAlign w:val="center"/>
          </w:tcPr>
          <w:p w14:paraId="7679C2F9">
            <w:pPr>
              <w:ind w:firstLine="0" w:firstLineChars="0"/>
              <w:jc w:val="center"/>
              <w:rPr>
                <w:rFonts w:eastAsia="宋体"/>
                <w:sz w:val="24"/>
              </w:rPr>
            </w:pPr>
            <w:r>
              <w:rPr>
                <w:rFonts w:hint="eastAsia" w:eastAsia="宋体"/>
                <w:sz w:val="24"/>
              </w:rPr>
              <w:t>0.005</w:t>
            </w:r>
          </w:p>
        </w:tc>
        <w:tc>
          <w:tcPr>
            <w:tcW w:w="1418" w:type="dxa"/>
            <w:vAlign w:val="center"/>
          </w:tcPr>
          <w:p w14:paraId="5F079D71">
            <w:pPr>
              <w:ind w:firstLine="0" w:firstLineChars="0"/>
              <w:jc w:val="center"/>
              <w:rPr>
                <w:rFonts w:eastAsia="宋体"/>
                <w:sz w:val="24"/>
              </w:rPr>
            </w:pPr>
            <w:r>
              <w:rPr>
                <w:rFonts w:hint="eastAsia" w:eastAsia="宋体"/>
                <w:sz w:val="24"/>
              </w:rPr>
              <w:t>0.004</w:t>
            </w:r>
          </w:p>
        </w:tc>
        <w:tc>
          <w:tcPr>
            <w:tcW w:w="1417" w:type="dxa"/>
            <w:vAlign w:val="center"/>
          </w:tcPr>
          <w:p w14:paraId="5842D934">
            <w:pPr>
              <w:ind w:firstLine="0" w:firstLineChars="0"/>
              <w:jc w:val="center"/>
              <w:rPr>
                <w:rFonts w:eastAsia="宋体"/>
                <w:sz w:val="24"/>
              </w:rPr>
            </w:pPr>
            <w:r>
              <w:rPr>
                <w:rFonts w:hint="eastAsia" w:eastAsia="宋体"/>
                <w:sz w:val="24"/>
              </w:rPr>
              <w:t>0.005</w:t>
            </w:r>
          </w:p>
        </w:tc>
        <w:tc>
          <w:tcPr>
            <w:tcW w:w="1229" w:type="dxa"/>
            <w:vAlign w:val="center"/>
          </w:tcPr>
          <w:p w14:paraId="10DF20A6">
            <w:pPr>
              <w:ind w:firstLine="0" w:firstLineChars="0"/>
              <w:jc w:val="center"/>
              <w:rPr>
                <w:rFonts w:eastAsia="宋体"/>
                <w:sz w:val="24"/>
              </w:rPr>
            </w:pPr>
            <w:r>
              <w:rPr>
                <w:rFonts w:hint="eastAsia" w:eastAsia="宋体"/>
                <w:sz w:val="24"/>
              </w:rPr>
              <w:t>0.005</w:t>
            </w:r>
          </w:p>
        </w:tc>
      </w:tr>
    </w:tbl>
    <w:p w14:paraId="7602B3CE">
      <w:pPr>
        <w:pStyle w:val="3"/>
        <w:ind w:left="0" w:firstLine="640" w:firstLineChars="200"/>
        <w:rPr>
          <w:rFonts w:ascii="仿宋_GB2312" w:hAnsi="宋体" w:eastAsia="仿宋_GB2312"/>
          <w:sz w:val="32"/>
          <w:szCs w:val="32"/>
        </w:rPr>
      </w:pPr>
      <w:r>
        <w:rPr>
          <w:rFonts w:hint="eastAsia" w:ascii="仿宋_GB2312" w:hAnsi="宋体" w:eastAsia="仿宋_GB2312"/>
          <w:sz w:val="32"/>
          <w:szCs w:val="32"/>
        </w:rPr>
        <w:t>3、精密度</w:t>
      </w:r>
    </w:p>
    <w:p w14:paraId="378CD27E">
      <w:pPr>
        <w:pStyle w:val="3"/>
        <w:ind w:left="0" w:firstLine="640" w:firstLineChars="200"/>
      </w:pPr>
      <w:r>
        <w:rPr>
          <w:rFonts w:hint="eastAsia" w:ascii="仿宋_GB2312" w:hAnsi="宋体" w:eastAsia="仿宋_GB2312"/>
          <w:sz w:val="32"/>
          <w:szCs w:val="32"/>
        </w:rPr>
        <w:t>4家实验室对CurⅠ、CurⅡ、CurⅢ进行的精密度试验，结果如</w:t>
      </w:r>
      <w:r>
        <w:rPr>
          <w:rFonts w:ascii="仿宋_GB2312" w:hAnsi="宋体" w:eastAsia="仿宋_GB2312"/>
          <w:sz w:val="32"/>
          <w:szCs w:val="32"/>
        </w:rPr>
        <w:t>表</w:t>
      </w:r>
      <w:r>
        <w:rPr>
          <w:rFonts w:hint="eastAsia" w:ascii="仿宋_GB2312" w:hAnsi="宋体" w:eastAsia="仿宋_GB2312"/>
          <w:sz w:val="32"/>
          <w:szCs w:val="32"/>
        </w:rPr>
        <w:t>5所示：其相对标准偏差（RSD）均小于1%。表明本方法在仪器分析方面具有良好精密度。</w:t>
      </w:r>
    </w:p>
    <w:p w14:paraId="17AE5B20">
      <w:pPr>
        <w:spacing w:after="156" w:afterLines="50"/>
        <w:ind w:firstLine="0" w:firstLineChars="0"/>
        <w:jc w:val="center"/>
        <w:rPr>
          <w:szCs w:val="32"/>
        </w:rPr>
      </w:pPr>
      <w:r>
        <w:rPr>
          <w:rFonts w:hint="eastAsia" w:eastAsia="黑体"/>
          <w:szCs w:val="32"/>
        </w:rPr>
        <w:t>表5：方法的</w:t>
      </w:r>
      <w:r>
        <w:rPr>
          <w:rFonts w:eastAsia="黑体"/>
          <w:szCs w:val="32"/>
        </w:rPr>
        <w:t>精密度</w:t>
      </w:r>
      <w:r>
        <w:rPr>
          <w:rFonts w:hint="eastAsia" w:eastAsia="黑体"/>
          <w:szCs w:val="32"/>
        </w:rPr>
        <w:t>的R</w:t>
      </w:r>
      <w:r>
        <w:rPr>
          <w:rFonts w:eastAsia="黑体"/>
          <w:szCs w:val="32"/>
        </w:rPr>
        <w:t>SD</w:t>
      </w:r>
      <w:r>
        <w:rPr>
          <w:rFonts w:hint="eastAsia" w:eastAsia="黑体"/>
          <w:szCs w:val="32"/>
        </w:rPr>
        <w:t>值（单位</w:t>
      </w:r>
      <w:r>
        <w:rPr>
          <w:rFonts w:eastAsia="黑体"/>
          <w:szCs w:val="32"/>
        </w:rPr>
        <w:t>：</w:t>
      </w:r>
      <w:r>
        <w:rPr>
          <w:rFonts w:hint="eastAsia" w:eastAsia="黑体"/>
          <w:szCs w:val="32"/>
        </w:rPr>
        <w:t>%）</w:t>
      </w:r>
    </w:p>
    <w:tbl>
      <w:tblPr>
        <w:tblStyle w:val="9"/>
        <w:tblW w:w="85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9"/>
        <w:gridCol w:w="1417"/>
        <w:gridCol w:w="1276"/>
        <w:gridCol w:w="1458"/>
        <w:gridCol w:w="1417"/>
        <w:gridCol w:w="1189"/>
      </w:tblGrid>
      <w:tr w14:paraId="6200E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69" w:type="dxa"/>
            <w:vAlign w:val="center"/>
          </w:tcPr>
          <w:p w14:paraId="511DF437">
            <w:pPr>
              <w:ind w:firstLine="0" w:firstLineChars="0"/>
              <w:jc w:val="center"/>
              <w:rPr>
                <w:rFonts w:eastAsia="宋体"/>
                <w:b/>
                <w:sz w:val="24"/>
              </w:rPr>
            </w:pPr>
            <w:r>
              <w:rPr>
                <w:rFonts w:eastAsia="宋体"/>
                <w:b/>
                <w:sz w:val="24"/>
              </w:rPr>
              <w:t>验证机构</w:t>
            </w:r>
          </w:p>
        </w:tc>
        <w:tc>
          <w:tcPr>
            <w:tcW w:w="1417" w:type="dxa"/>
            <w:vAlign w:val="center"/>
          </w:tcPr>
          <w:p w14:paraId="26161AC6">
            <w:pPr>
              <w:ind w:firstLine="0" w:firstLineChars="0"/>
              <w:jc w:val="center"/>
              <w:rPr>
                <w:rFonts w:eastAsia="宋体"/>
                <w:b/>
                <w:sz w:val="24"/>
              </w:rPr>
            </w:pPr>
            <w:r>
              <w:rPr>
                <w:rFonts w:eastAsia="宋体"/>
                <w:b/>
                <w:sz w:val="24"/>
              </w:rPr>
              <w:t>玉林中心</w:t>
            </w:r>
          </w:p>
        </w:tc>
        <w:tc>
          <w:tcPr>
            <w:tcW w:w="1276" w:type="dxa"/>
            <w:vAlign w:val="center"/>
          </w:tcPr>
          <w:p w14:paraId="7DF9064D">
            <w:pPr>
              <w:ind w:firstLine="0" w:firstLineChars="0"/>
              <w:jc w:val="center"/>
              <w:rPr>
                <w:rFonts w:eastAsia="宋体"/>
                <w:b/>
                <w:sz w:val="24"/>
              </w:rPr>
            </w:pPr>
            <w:r>
              <w:rPr>
                <w:rFonts w:eastAsia="宋体"/>
                <w:b/>
                <w:sz w:val="24"/>
              </w:rPr>
              <w:t>梧州所</w:t>
            </w:r>
          </w:p>
        </w:tc>
        <w:tc>
          <w:tcPr>
            <w:tcW w:w="1458" w:type="dxa"/>
            <w:vAlign w:val="center"/>
          </w:tcPr>
          <w:p w14:paraId="314F588D">
            <w:pPr>
              <w:ind w:firstLine="0" w:firstLineChars="0"/>
              <w:jc w:val="center"/>
              <w:rPr>
                <w:rFonts w:eastAsia="宋体"/>
                <w:b/>
                <w:sz w:val="24"/>
              </w:rPr>
            </w:pPr>
            <w:r>
              <w:rPr>
                <w:rFonts w:hint="eastAsia" w:eastAsia="宋体"/>
                <w:b/>
                <w:sz w:val="24"/>
              </w:rPr>
              <w:t>质检院</w:t>
            </w:r>
          </w:p>
        </w:tc>
        <w:tc>
          <w:tcPr>
            <w:tcW w:w="1417" w:type="dxa"/>
            <w:vAlign w:val="center"/>
          </w:tcPr>
          <w:p w14:paraId="17B82E69">
            <w:pPr>
              <w:ind w:firstLine="0" w:firstLineChars="0"/>
              <w:jc w:val="center"/>
              <w:rPr>
                <w:rFonts w:eastAsia="宋体"/>
                <w:b/>
                <w:sz w:val="24"/>
              </w:rPr>
            </w:pPr>
            <w:r>
              <w:rPr>
                <w:rFonts w:hint="eastAsia" w:eastAsia="宋体"/>
                <w:b/>
                <w:sz w:val="24"/>
              </w:rPr>
              <w:t>广电计量</w:t>
            </w:r>
          </w:p>
        </w:tc>
        <w:tc>
          <w:tcPr>
            <w:tcW w:w="1189" w:type="dxa"/>
          </w:tcPr>
          <w:p w14:paraId="66D459F3">
            <w:pPr>
              <w:ind w:firstLine="0" w:firstLineChars="0"/>
              <w:jc w:val="center"/>
              <w:rPr>
                <w:rFonts w:eastAsia="宋体"/>
                <w:b/>
                <w:sz w:val="24"/>
              </w:rPr>
            </w:pPr>
            <w:r>
              <w:rPr>
                <w:rFonts w:hint="eastAsia" w:eastAsia="宋体"/>
                <w:b/>
                <w:sz w:val="24"/>
              </w:rPr>
              <w:t>平均值</w:t>
            </w:r>
          </w:p>
        </w:tc>
      </w:tr>
      <w:tr w14:paraId="2A991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69" w:type="dxa"/>
            <w:vAlign w:val="center"/>
          </w:tcPr>
          <w:p w14:paraId="564703F4">
            <w:pPr>
              <w:ind w:firstLine="0" w:firstLineChars="0"/>
              <w:jc w:val="center"/>
              <w:rPr>
                <w:rFonts w:eastAsia="宋体"/>
                <w:sz w:val="24"/>
              </w:rPr>
            </w:pPr>
            <w:r>
              <w:rPr>
                <w:rFonts w:hint="eastAsia" w:eastAsia="宋体"/>
                <w:sz w:val="24"/>
              </w:rPr>
              <w:t>姜黄（CurⅠ）</w:t>
            </w:r>
          </w:p>
        </w:tc>
        <w:tc>
          <w:tcPr>
            <w:tcW w:w="1417" w:type="dxa"/>
            <w:vAlign w:val="center"/>
          </w:tcPr>
          <w:p w14:paraId="1F835CE1">
            <w:pPr>
              <w:ind w:firstLine="0" w:firstLineChars="0"/>
              <w:jc w:val="center"/>
              <w:rPr>
                <w:rFonts w:eastAsia="宋体"/>
                <w:sz w:val="24"/>
              </w:rPr>
            </w:pPr>
            <w:r>
              <w:rPr>
                <w:rFonts w:hint="eastAsia" w:eastAsia="宋体"/>
                <w:sz w:val="24"/>
              </w:rPr>
              <w:t>0.2</w:t>
            </w:r>
          </w:p>
        </w:tc>
        <w:tc>
          <w:tcPr>
            <w:tcW w:w="1276" w:type="dxa"/>
            <w:vAlign w:val="center"/>
          </w:tcPr>
          <w:p w14:paraId="385C9F98">
            <w:pPr>
              <w:ind w:firstLine="0" w:firstLineChars="0"/>
              <w:jc w:val="center"/>
              <w:rPr>
                <w:rFonts w:eastAsia="宋体"/>
                <w:sz w:val="24"/>
              </w:rPr>
            </w:pPr>
            <w:r>
              <w:rPr>
                <w:rFonts w:hint="eastAsia" w:eastAsia="宋体"/>
                <w:sz w:val="24"/>
              </w:rPr>
              <w:t>0.08</w:t>
            </w:r>
          </w:p>
        </w:tc>
        <w:tc>
          <w:tcPr>
            <w:tcW w:w="1458" w:type="dxa"/>
            <w:vAlign w:val="center"/>
          </w:tcPr>
          <w:p w14:paraId="3F66C210">
            <w:pPr>
              <w:ind w:firstLine="0" w:firstLineChars="0"/>
              <w:jc w:val="center"/>
              <w:rPr>
                <w:rFonts w:eastAsia="宋体"/>
                <w:sz w:val="24"/>
              </w:rPr>
            </w:pPr>
            <w:r>
              <w:rPr>
                <w:rFonts w:hint="eastAsia" w:eastAsia="宋体"/>
                <w:sz w:val="24"/>
              </w:rPr>
              <w:t>1.6</w:t>
            </w:r>
          </w:p>
        </w:tc>
        <w:tc>
          <w:tcPr>
            <w:tcW w:w="1417" w:type="dxa"/>
            <w:vAlign w:val="center"/>
          </w:tcPr>
          <w:p w14:paraId="1802818C">
            <w:pPr>
              <w:ind w:firstLine="0" w:firstLineChars="0"/>
              <w:jc w:val="center"/>
              <w:rPr>
                <w:rFonts w:eastAsia="宋体"/>
                <w:sz w:val="24"/>
              </w:rPr>
            </w:pPr>
            <w:r>
              <w:rPr>
                <w:rFonts w:hint="eastAsia" w:eastAsia="宋体"/>
                <w:sz w:val="24"/>
              </w:rPr>
              <w:t>0.6</w:t>
            </w:r>
          </w:p>
        </w:tc>
        <w:tc>
          <w:tcPr>
            <w:tcW w:w="1189" w:type="dxa"/>
            <w:vAlign w:val="center"/>
          </w:tcPr>
          <w:p w14:paraId="2B55484B">
            <w:pPr>
              <w:ind w:firstLine="0" w:firstLineChars="0"/>
              <w:jc w:val="center"/>
              <w:rPr>
                <w:rFonts w:eastAsia="宋体"/>
                <w:sz w:val="24"/>
              </w:rPr>
            </w:pPr>
            <w:r>
              <w:rPr>
                <w:rFonts w:eastAsia="宋体"/>
                <w:sz w:val="24"/>
              </w:rPr>
              <w:t>0.6</w:t>
            </w:r>
          </w:p>
        </w:tc>
      </w:tr>
      <w:tr w14:paraId="336C8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69" w:type="dxa"/>
            <w:vAlign w:val="center"/>
          </w:tcPr>
          <w:p w14:paraId="29053F49">
            <w:pPr>
              <w:ind w:firstLine="0" w:firstLineChars="0"/>
              <w:jc w:val="center"/>
              <w:rPr>
                <w:rFonts w:eastAsia="宋体"/>
                <w:sz w:val="24"/>
              </w:rPr>
            </w:pPr>
            <w:r>
              <w:rPr>
                <w:rFonts w:hint="eastAsia" w:eastAsia="宋体"/>
                <w:sz w:val="24"/>
              </w:rPr>
              <w:t>姜黄（CurⅡ）</w:t>
            </w:r>
          </w:p>
        </w:tc>
        <w:tc>
          <w:tcPr>
            <w:tcW w:w="1417" w:type="dxa"/>
            <w:vAlign w:val="center"/>
          </w:tcPr>
          <w:p w14:paraId="54340602">
            <w:pPr>
              <w:ind w:firstLine="0" w:firstLineChars="0"/>
              <w:jc w:val="center"/>
              <w:rPr>
                <w:rFonts w:eastAsia="宋体"/>
                <w:sz w:val="24"/>
              </w:rPr>
            </w:pPr>
            <w:r>
              <w:rPr>
                <w:rFonts w:hint="eastAsia" w:eastAsia="宋体"/>
                <w:sz w:val="24"/>
              </w:rPr>
              <w:t>0.1</w:t>
            </w:r>
          </w:p>
        </w:tc>
        <w:tc>
          <w:tcPr>
            <w:tcW w:w="1276" w:type="dxa"/>
            <w:vAlign w:val="center"/>
          </w:tcPr>
          <w:p w14:paraId="54073C85">
            <w:pPr>
              <w:ind w:firstLine="0" w:firstLineChars="0"/>
              <w:jc w:val="center"/>
              <w:rPr>
                <w:rFonts w:eastAsia="宋体"/>
                <w:sz w:val="24"/>
              </w:rPr>
            </w:pPr>
            <w:r>
              <w:rPr>
                <w:rFonts w:hint="eastAsia" w:eastAsia="宋体"/>
                <w:sz w:val="24"/>
              </w:rPr>
              <w:t>0.2</w:t>
            </w:r>
          </w:p>
        </w:tc>
        <w:tc>
          <w:tcPr>
            <w:tcW w:w="1458" w:type="dxa"/>
            <w:vAlign w:val="center"/>
          </w:tcPr>
          <w:p w14:paraId="1736B3F5">
            <w:pPr>
              <w:ind w:firstLine="0" w:firstLineChars="0"/>
              <w:jc w:val="center"/>
              <w:rPr>
                <w:rFonts w:eastAsia="宋体"/>
                <w:sz w:val="24"/>
              </w:rPr>
            </w:pPr>
            <w:r>
              <w:rPr>
                <w:rFonts w:hint="eastAsia" w:eastAsia="宋体"/>
                <w:sz w:val="24"/>
              </w:rPr>
              <w:t>1.7</w:t>
            </w:r>
          </w:p>
        </w:tc>
        <w:tc>
          <w:tcPr>
            <w:tcW w:w="1417" w:type="dxa"/>
            <w:vAlign w:val="center"/>
          </w:tcPr>
          <w:p w14:paraId="540A9162">
            <w:pPr>
              <w:ind w:firstLine="0" w:firstLineChars="0"/>
              <w:jc w:val="center"/>
              <w:rPr>
                <w:rFonts w:eastAsia="宋体"/>
                <w:sz w:val="24"/>
              </w:rPr>
            </w:pPr>
            <w:r>
              <w:rPr>
                <w:rFonts w:hint="eastAsia" w:eastAsia="宋体"/>
                <w:sz w:val="24"/>
              </w:rPr>
              <w:t>0.7</w:t>
            </w:r>
          </w:p>
        </w:tc>
        <w:tc>
          <w:tcPr>
            <w:tcW w:w="1189" w:type="dxa"/>
            <w:vAlign w:val="center"/>
          </w:tcPr>
          <w:p w14:paraId="12F49803">
            <w:pPr>
              <w:ind w:firstLine="0" w:firstLineChars="0"/>
              <w:jc w:val="center"/>
              <w:rPr>
                <w:rFonts w:eastAsia="宋体"/>
                <w:sz w:val="24"/>
              </w:rPr>
            </w:pPr>
            <w:r>
              <w:rPr>
                <w:rFonts w:eastAsia="宋体"/>
                <w:sz w:val="24"/>
              </w:rPr>
              <w:t>0.7</w:t>
            </w:r>
          </w:p>
        </w:tc>
      </w:tr>
      <w:tr w14:paraId="3699C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69" w:type="dxa"/>
            <w:vAlign w:val="center"/>
          </w:tcPr>
          <w:p w14:paraId="5D08ACBA">
            <w:pPr>
              <w:ind w:firstLine="0" w:firstLineChars="0"/>
              <w:jc w:val="center"/>
              <w:rPr>
                <w:rFonts w:eastAsia="宋体"/>
                <w:sz w:val="24"/>
              </w:rPr>
            </w:pPr>
            <w:r>
              <w:rPr>
                <w:rFonts w:hint="eastAsia" w:eastAsia="宋体"/>
                <w:sz w:val="24"/>
              </w:rPr>
              <w:t>姜黄（CurⅢ）</w:t>
            </w:r>
          </w:p>
        </w:tc>
        <w:tc>
          <w:tcPr>
            <w:tcW w:w="1417" w:type="dxa"/>
            <w:vAlign w:val="center"/>
          </w:tcPr>
          <w:p w14:paraId="3E7B930B">
            <w:pPr>
              <w:ind w:firstLine="0" w:firstLineChars="0"/>
              <w:jc w:val="center"/>
              <w:rPr>
                <w:rFonts w:eastAsia="宋体"/>
                <w:sz w:val="24"/>
              </w:rPr>
            </w:pPr>
            <w:r>
              <w:rPr>
                <w:rFonts w:hint="eastAsia" w:eastAsia="宋体"/>
                <w:sz w:val="24"/>
              </w:rPr>
              <w:t>0.1</w:t>
            </w:r>
          </w:p>
        </w:tc>
        <w:tc>
          <w:tcPr>
            <w:tcW w:w="1276" w:type="dxa"/>
            <w:vAlign w:val="center"/>
          </w:tcPr>
          <w:p w14:paraId="1B341E51">
            <w:pPr>
              <w:ind w:firstLine="0" w:firstLineChars="0"/>
              <w:jc w:val="center"/>
              <w:rPr>
                <w:rFonts w:eastAsia="宋体"/>
                <w:sz w:val="24"/>
              </w:rPr>
            </w:pPr>
            <w:r>
              <w:rPr>
                <w:rFonts w:hint="eastAsia" w:eastAsia="宋体"/>
                <w:sz w:val="24"/>
              </w:rPr>
              <w:t>0.09</w:t>
            </w:r>
          </w:p>
        </w:tc>
        <w:tc>
          <w:tcPr>
            <w:tcW w:w="1458" w:type="dxa"/>
            <w:vAlign w:val="center"/>
          </w:tcPr>
          <w:p w14:paraId="05AD50DD">
            <w:pPr>
              <w:ind w:firstLine="0" w:firstLineChars="0"/>
              <w:jc w:val="center"/>
              <w:rPr>
                <w:rFonts w:eastAsia="宋体"/>
                <w:sz w:val="24"/>
              </w:rPr>
            </w:pPr>
            <w:r>
              <w:rPr>
                <w:rFonts w:hint="eastAsia" w:eastAsia="宋体"/>
                <w:sz w:val="24"/>
              </w:rPr>
              <w:t>1.9</w:t>
            </w:r>
          </w:p>
        </w:tc>
        <w:tc>
          <w:tcPr>
            <w:tcW w:w="1417" w:type="dxa"/>
            <w:vAlign w:val="center"/>
          </w:tcPr>
          <w:p w14:paraId="2D64AB5C">
            <w:pPr>
              <w:ind w:firstLine="0" w:firstLineChars="0"/>
              <w:jc w:val="center"/>
              <w:rPr>
                <w:rFonts w:eastAsia="宋体"/>
                <w:sz w:val="24"/>
              </w:rPr>
            </w:pPr>
            <w:r>
              <w:rPr>
                <w:rFonts w:hint="eastAsia" w:eastAsia="宋体"/>
                <w:sz w:val="24"/>
              </w:rPr>
              <w:t>0.8</w:t>
            </w:r>
          </w:p>
        </w:tc>
        <w:tc>
          <w:tcPr>
            <w:tcW w:w="1189" w:type="dxa"/>
            <w:vAlign w:val="center"/>
          </w:tcPr>
          <w:p w14:paraId="16D36D3E">
            <w:pPr>
              <w:ind w:firstLine="0" w:firstLineChars="0"/>
              <w:jc w:val="center"/>
              <w:rPr>
                <w:rFonts w:eastAsia="宋体"/>
                <w:sz w:val="24"/>
              </w:rPr>
            </w:pPr>
            <w:r>
              <w:rPr>
                <w:rFonts w:eastAsia="宋体"/>
                <w:sz w:val="24"/>
              </w:rPr>
              <w:t>0.7</w:t>
            </w:r>
          </w:p>
        </w:tc>
      </w:tr>
      <w:tr w14:paraId="6EEA3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69" w:type="dxa"/>
            <w:vAlign w:val="center"/>
          </w:tcPr>
          <w:p w14:paraId="0262EC8A">
            <w:pPr>
              <w:snapToGrid w:val="0"/>
              <w:ind w:firstLine="0" w:firstLineChars="0"/>
              <w:jc w:val="center"/>
              <w:rPr>
                <w:rFonts w:eastAsia="宋体"/>
                <w:sz w:val="24"/>
              </w:rPr>
            </w:pPr>
            <w:r>
              <w:rPr>
                <w:rFonts w:hint="eastAsia" w:eastAsia="宋体"/>
                <w:sz w:val="24"/>
              </w:rPr>
              <w:t>姜黄制品（CurⅠ）</w:t>
            </w:r>
          </w:p>
        </w:tc>
        <w:tc>
          <w:tcPr>
            <w:tcW w:w="1417" w:type="dxa"/>
            <w:vAlign w:val="center"/>
          </w:tcPr>
          <w:p w14:paraId="4210D2C4">
            <w:pPr>
              <w:ind w:firstLine="0" w:firstLineChars="0"/>
              <w:jc w:val="center"/>
              <w:rPr>
                <w:rFonts w:eastAsia="宋体"/>
                <w:sz w:val="24"/>
              </w:rPr>
            </w:pPr>
            <w:r>
              <w:rPr>
                <w:rFonts w:hint="eastAsia" w:eastAsia="宋体"/>
                <w:sz w:val="24"/>
              </w:rPr>
              <w:t>0.3</w:t>
            </w:r>
          </w:p>
        </w:tc>
        <w:tc>
          <w:tcPr>
            <w:tcW w:w="1276" w:type="dxa"/>
            <w:vAlign w:val="center"/>
          </w:tcPr>
          <w:p w14:paraId="73AB23A0">
            <w:pPr>
              <w:ind w:firstLine="0" w:firstLineChars="0"/>
              <w:jc w:val="center"/>
              <w:rPr>
                <w:rFonts w:eastAsia="宋体"/>
                <w:sz w:val="24"/>
              </w:rPr>
            </w:pPr>
            <w:r>
              <w:rPr>
                <w:rFonts w:hint="eastAsia" w:eastAsia="宋体"/>
                <w:sz w:val="24"/>
              </w:rPr>
              <w:t>0.2</w:t>
            </w:r>
          </w:p>
        </w:tc>
        <w:tc>
          <w:tcPr>
            <w:tcW w:w="1458" w:type="dxa"/>
            <w:vAlign w:val="center"/>
          </w:tcPr>
          <w:p w14:paraId="7AFAA1F6">
            <w:pPr>
              <w:ind w:firstLine="0" w:firstLineChars="0"/>
              <w:jc w:val="center"/>
              <w:rPr>
                <w:rFonts w:eastAsia="宋体"/>
                <w:sz w:val="24"/>
              </w:rPr>
            </w:pPr>
            <w:r>
              <w:rPr>
                <w:rFonts w:hint="eastAsia" w:eastAsia="宋体"/>
                <w:sz w:val="24"/>
              </w:rPr>
              <w:t>0.1</w:t>
            </w:r>
          </w:p>
        </w:tc>
        <w:tc>
          <w:tcPr>
            <w:tcW w:w="1417" w:type="dxa"/>
            <w:vAlign w:val="center"/>
          </w:tcPr>
          <w:p w14:paraId="5EFD9753">
            <w:pPr>
              <w:ind w:firstLine="0" w:firstLineChars="0"/>
              <w:jc w:val="center"/>
              <w:rPr>
                <w:rFonts w:eastAsia="宋体"/>
                <w:sz w:val="24"/>
              </w:rPr>
            </w:pPr>
            <w:r>
              <w:rPr>
                <w:rFonts w:hint="eastAsia" w:eastAsia="宋体"/>
                <w:sz w:val="24"/>
              </w:rPr>
              <w:t>0.07</w:t>
            </w:r>
          </w:p>
        </w:tc>
        <w:tc>
          <w:tcPr>
            <w:tcW w:w="1189" w:type="dxa"/>
            <w:vAlign w:val="center"/>
          </w:tcPr>
          <w:p w14:paraId="31A72F26">
            <w:pPr>
              <w:ind w:firstLine="0" w:firstLineChars="0"/>
              <w:jc w:val="center"/>
              <w:rPr>
                <w:rFonts w:eastAsia="宋体"/>
                <w:sz w:val="24"/>
              </w:rPr>
            </w:pPr>
            <w:r>
              <w:rPr>
                <w:rFonts w:eastAsia="宋体"/>
                <w:sz w:val="24"/>
              </w:rPr>
              <w:t>0.2</w:t>
            </w:r>
          </w:p>
        </w:tc>
      </w:tr>
      <w:tr w14:paraId="03C2F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69" w:type="dxa"/>
            <w:vAlign w:val="center"/>
          </w:tcPr>
          <w:p w14:paraId="3E85D1E7">
            <w:pPr>
              <w:snapToGrid w:val="0"/>
              <w:ind w:firstLine="0" w:firstLineChars="0"/>
              <w:jc w:val="center"/>
              <w:rPr>
                <w:rFonts w:eastAsia="宋体"/>
                <w:sz w:val="24"/>
              </w:rPr>
            </w:pPr>
            <w:r>
              <w:rPr>
                <w:rFonts w:hint="eastAsia" w:eastAsia="宋体"/>
                <w:sz w:val="24"/>
              </w:rPr>
              <w:t>姜黄制品（CurⅡ）</w:t>
            </w:r>
          </w:p>
        </w:tc>
        <w:tc>
          <w:tcPr>
            <w:tcW w:w="1417" w:type="dxa"/>
            <w:vAlign w:val="center"/>
          </w:tcPr>
          <w:p w14:paraId="71608D00">
            <w:pPr>
              <w:ind w:firstLine="0" w:firstLineChars="0"/>
              <w:jc w:val="center"/>
              <w:rPr>
                <w:rFonts w:eastAsia="宋体"/>
                <w:sz w:val="24"/>
              </w:rPr>
            </w:pPr>
            <w:r>
              <w:rPr>
                <w:rFonts w:hint="eastAsia" w:eastAsia="宋体"/>
                <w:sz w:val="24"/>
              </w:rPr>
              <w:t>0.5</w:t>
            </w:r>
          </w:p>
        </w:tc>
        <w:tc>
          <w:tcPr>
            <w:tcW w:w="1276" w:type="dxa"/>
            <w:vAlign w:val="center"/>
          </w:tcPr>
          <w:p w14:paraId="4950E602">
            <w:pPr>
              <w:ind w:firstLine="0" w:firstLineChars="0"/>
              <w:jc w:val="center"/>
              <w:rPr>
                <w:rFonts w:eastAsia="宋体"/>
                <w:sz w:val="24"/>
              </w:rPr>
            </w:pPr>
            <w:r>
              <w:rPr>
                <w:rFonts w:hint="eastAsia" w:eastAsia="宋体"/>
                <w:sz w:val="24"/>
              </w:rPr>
              <w:t>0.2</w:t>
            </w:r>
          </w:p>
        </w:tc>
        <w:tc>
          <w:tcPr>
            <w:tcW w:w="1458" w:type="dxa"/>
            <w:vAlign w:val="center"/>
          </w:tcPr>
          <w:p w14:paraId="31291BEA">
            <w:pPr>
              <w:ind w:firstLine="0" w:firstLineChars="0"/>
              <w:jc w:val="center"/>
              <w:rPr>
                <w:rFonts w:eastAsia="宋体"/>
                <w:sz w:val="24"/>
              </w:rPr>
            </w:pPr>
            <w:r>
              <w:rPr>
                <w:rFonts w:hint="eastAsia" w:eastAsia="宋体"/>
                <w:sz w:val="24"/>
              </w:rPr>
              <w:t>0.1</w:t>
            </w:r>
          </w:p>
        </w:tc>
        <w:tc>
          <w:tcPr>
            <w:tcW w:w="1417" w:type="dxa"/>
            <w:vAlign w:val="center"/>
          </w:tcPr>
          <w:p w14:paraId="70A5CB45">
            <w:pPr>
              <w:ind w:firstLine="0" w:firstLineChars="0"/>
              <w:jc w:val="center"/>
              <w:rPr>
                <w:rFonts w:eastAsia="宋体"/>
                <w:sz w:val="24"/>
              </w:rPr>
            </w:pPr>
            <w:r>
              <w:rPr>
                <w:rFonts w:hint="eastAsia" w:eastAsia="宋体"/>
                <w:sz w:val="24"/>
              </w:rPr>
              <w:t>0.09</w:t>
            </w:r>
          </w:p>
        </w:tc>
        <w:tc>
          <w:tcPr>
            <w:tcW w:w="1189" w:type="dxa"/>
            <w:vAlign w:val="center"/>
          </w:tcPr>
          <w:p w14:paraId="46472AEB">
            <w:pPr>
              <w:ind w:firstLine="0" w:firstLineChars="0"/>
              <w:jc w:val="center"/>
              <w:rPr>
                <w:rFonts w:eastAsia="宋体"/>
                <w:sz w:val="24"/>
              </w:rPr>
            </w:pPr>
            <w:r>
              <w:rPr>
                <w:rFonts w:eastAsia="宋体"/>
                <w:sz w:val="24"/>
              </w:rPr>
              <w:t>0.2</w:t>
            </w:r>
          </w:p>
        </w:tc>
      </w:tr>
      <w:tr w14:paraId="45422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69" w:type="dxa"/>
            <w:vAlign w:val="center"/>
          </w:tcPr>
          <w:p w14:paraId="0384D088">
            <w:pPr>
              <w:snapToGrid w:val="0"/>
              <w:ind w:firstLine="0" w:firstLineChars="0"/>
              <w:jc w:val="center"/>
              <w:rPr>
                <w:rFonts w:eastAsia="宋体"/>
                <w:sz w:val="24"/>
              </w:rPr>
            </w:pPr>
            <w:r>
              <w:rPr>
                <w:rFonts w:hint="eastAsia" w:eastAsia="宋体"/>
                <w:sz w:val="24"/>
              </w:rPr>
              <w:t>姜黄制品（CurⅢ）</w:t>
            </w:r>
          </w:p>
        </w:tc>
        <w:tc>
          <w:tcPr>
            <w:tcW w:w="1417" w:type="dxa"/>
            <w:vAlign w:val="center"/>
          </w:tcPr>
          <w:p w14:paraId="5E1A876A">
            <w:pPr>
              <w:ind w:firstLine="0" w:firstLineChars="0"/>
              <w:jc w:val="center"/>
              <w:rPr>
                <w:rFonts w:eastAsia="宋体"/>
                <w:sz w:val="24"/>
              </w:rPr>
            </w:pPr>
            <w:r>
              <w:rPr>
                <w:rFonts w:hint="eastAsia" w:eastAsia="宋体"/>
                <w:sz w:val="24"/>
              </w:rPr>
              <w:t>0.5</w:t>
            </w:r>
          </w:p>
        </w:tc>
        <w:tc>
          <w:tcPr>
            <w:tcW w:w="1276" w:type="dxa"/>
            <w:vAlign w:val="center"/>
          </w:tcPr>
          <w:p w14:paraId="773F8D8C">
            <w:pPr>
              <w:ind w:firstLine="0" w:firstLineChars="0"/>
              <w:jc w:val="center"/>
              <w:rPr>
                <w:rFonts w:eastAsia="宋体"/>
                <w:sz w:val="24"/>
              </w:rPr>
            </w:pPr>
            <w:r>
              <w:rPr>
                <w:rFonts w:hint="eastAsia" w:eastAsia="宋体"/>
                <w:sz w:val="24"/>
              </w:rPr>
              <w:t>0.1</w:t>
            </w:r>
          </w:p>
        </w:tc>
        <w:tc>
          <w:tcPr>
            <w:tcW w:w="1458" w:type="dxa"/>
            <w:vAlign w:val="center"/>
          </w:tcPr>
          <w:p w14:paraId="325F17C8">
            <w:pPr>
              <w:ind w:firstLine="0" w:firstLineChars="0"/>
              <w:jc w:val="center"/>
              <w:rPr>
                <w:rFonts w:eastAsia="宋体"/>
                <w:sz w:val="24"/>
              </w:rPr>
            </w:pPr>
            <w:r>
              <w:rPr>
                <w:rFonts w:hint="eastAsia" w:eastAsia="宋体"/>
                <w:sz w:val="24"/>
              </w:rPr>
              <w:t>0.1</w:t>
            </w:r>
          </w:p>
        </w:tc>
        <w:tc>
          <w:tcPr>
            <w:tcW w:w="1417" w:type="dxa"/>
            <w:vAlign w:val="center"/>
          </w:tcPr>
          <w:p w14:paraId="6B43A7A3">
            <w:pPr>
              <w:ind w:firstLine="0" w:firstLineChars="0"/>
              <w:jc w:val="center"/>
              <w:rPr>
                <w:rFonts w:eastAsia="宋体"/>
                <w:sz w:val="24"/>
              </w:rPr>
            </w:pPr>
            <w:r>
              <w:rPr>
                <w:rFonts w:hint="eastAsia" w:eastAsia="宋体"/>
                <w:sz w:val="24"/>
              </w:rPr>
              <w:t>0.05</w:t>
            </w:r>
          </w:p>
        </w:tc>
        <w:tc>
          <w:tcPr>
            <w:tcW w:w="1189" w:type="dxa"/>
            <w:vAlign w:val="center"/>
          </w:tcPr>
          <w:p w14:paraId="02377200">
            <w:pPr>
              <w:ind w:firstLine="0" w:firstLineChars="0"/>
              <w:jc w:val="center"/>
              <w:rPr>
                <w:rFonts w:eastAsia="宋体"/>
                <w:sz w:val="24"/>
              </w:rPr>
            </w:pPr>
            <w:r>
              <w:rPr>
                <w:rFonts w:eastAsia="宋体"/>
                <w:sz w:val="24"/>
              </w:rPr>
              <w:t>0.2</w:t>
            </w:r>
          </w:p>
        </w:tc>
      </w:tr>
    </w:tbl>
    <w:p w14:paraId="1977FAF6">
      <w:pPr>
        <w:pStyle w:val="3"/>
        <w:ind w:left="0" w:firstLine="640" w:firstLineChars="200"/>
        <w:rPr>
          <w:rFonts w:ascii="仿宋_GB2312" w:hAnsi="宋体" w:eastAsia="仿宋_GB2312"/>
          <w:sz w:val="32"/>
          <w:szCs w:val="32"/>
        </w:rPr>
      </w:pPr>
      <w:r>
        <w:rPr>
          <w:rFonts w:hint="eastAsia" w:ascii="仿宋_GB2312" w:hAnsi="宋体" w:eastAsia="仿宋_GB2312"/>
          <w:sz w:val="32"/>
          <w:szCs w:val="32"/>
        </w:rPr>
        <w:t>4、重复性</w:t>
      </w:r>
    </w:p>
    <w:p w14:paraId="6DB5E148">
      <w:pPr>
        <w:pStyle w:val="3"/>
        <w:ind w:left="0" w:firstLine="640" w:firstLineChars="200"/>
        <w:rPr>
          <w:rFonts w:ascii="仿宋_GB2312" w:hAnsi="宋体" w:eastAsia="仿宋_GB2312"/>
          <w:sz w:val="32"/>
          <w:szCs w:val="32"/>
        </w:rPr>
      </w:pPr>
      <w:r>
        <w:rPr>
          <w:rFonts w:hint="eastAsia" w:ascii="仿宋_GB2312" w:hAnsi="宋体" w:eastAsia="仿宋_GB2312"/>
          <w:sz w:val="32"/>
          <w:szCs w:val="32"/>
        </w:rPr>
        <w:t>4家实验室分别测定6份姜黄及姜黄制品中CurⅠ、CurⅡ、CurⅢ含量，如表6所示：姜黄中CurⅠ、CurⅡ、CurⅢ平均含量分别为1.59%、0.830%、1.05%，RSD为1.4～2.0%（</w:t>
      </w:r>
      <w:r>
        <w:rPr>
          <w:rFonts w:hint="eastAsia" w:ascii="仿宋_GB2312" w:hAnsi="宋体" w:eastAsia="仿宋_GB2312"/>
          <w:i/>
          <w:sz w:val="32"/>
          <w:szCs w:val="32"/>
        </w:rPr>
        <w:t>n=6</w:t>
      </w:r>
      <w:r>
        <w:rPr>
          <w:rFonts w:hint="eastAsia" w:ascii="仿宋_GB2312" w:hAnsi="宋体" w:eastAsia="仿宋_GB2312"/>
          <w:sz w:val="32"/>
          <w:szCs w:val="32"/>
        </w:rPr>
        <w:t>）；姜黄制品中CurⅠ、CurⅡ、CurⅢ平均含量分别为0.891%、0.464%、0.581%，RSD为3.5～4.6%（</w:t>
      </w:r>
      <w:r>
        <w:rPr>
          <w:rFonts w:hint="eastAsia" w:ascii="仿宋_GB2312" w:hAnsi="宋体" w:eastAsia="仿宋_GB2312"/>
          <w:i/>
          <w:sz w:val="32"/>
          <w:szCs w:val="32"/>
        </w:rPr>
        <w:t>n=6</w:t>
      </w:r>
      <w:r>
        <w:rPr>
          <w:rFonts w:hint="eastAsia" w:ascii="仿宋_GB2312" w:hAnsi="宋体" w:eastAsia="仿宋_GB2312"/>
          <w:sz w:val="32"/>
          <w:szCs w:val="32"/>
        </w:rPr>
        <w:t>）。以上结果均满足方法重复性要求。</w:t>
      </w:r>
    </w:p>
    <w:p w14:paraId="65AA0CE6">
      <w:pPr>
        <w:pStyle w:val="33"/>
        <w:snapToGrid w:val="0"/>
        <w:spacing w:line="360" w:lineRule="auto"/>
        <w:ind w:left="1132" w:firstLine="0" w:firstLineChars="0"/>
        <w:rPr>
          <w:rFonts w:eastAsia="黑体"/>
          <w:szCs w:val="32"/>
        </w:rPr>
      </w:pPr>
      <w:r>
        <w:rPr>
          <w:rFonts w:hint="eastAsia" w:eastAsia="黑体"/>
          <w:szCs w:val="32"/>
        </w:rPr>
        <w:t>表6：方法的重复性试验</w:t>
      </w:r>
      <w:r>
        <w:rPr>
          <w:rFonts w:eastAsia="黑体"/>
          <w:szCs w:val="32"/>
        </w:rPr>
        <w:t>结果</w:t>
      </w:r>
      <w:r>
        <w:rPr>
          <w:rFonts w:hint="eastAsia" w:eastAsia="黑体"/>
          <w:szCs w:val="32"/>
        </w:rPr>
        <w:t>（单位：%）</w:t>
      </w:r>
    </w:p>
    <w:tbl>
      <w:tblPr>
        <w:tblStyle w:val="9"/>
        <w:tblW w:w="91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9"/>
        <w:gridCol w:w="1367"/>
        <w:gridCol w:w="1134"/>
        <w:gridCol w:w="1417"/>
        <w:gridCol w:w="1418"/>
        <w:gridCol w:w="1134"/>
        <w:gridCol w:w="1075"/>
      </w:tblGrid>
      <w:tr w14:paraId="4B401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599" w:type="dxa"/>
            <w:vAlign w:val="center"/>
          </w:tcPr>
          <w:p w14:paraId="39569E23">
            <w:pPr>
              <w:ind w:firstLine="0" w:firstLineChars="0"/>
              <w:jc w:val="center"/>
              <w:rPr>
                <w:rFonts w:eastAsia="宋体"/>
                <w:b/>
                <w:sz w:val="24"/>
              </w:rPr>
            </w:pPr>
            <w:r>
              <w:rPr>
                <w:rFonts w:eastAsia="宋体"/>
                <w:b/>
                <w:sz w:val="24"/>
              </w:rPr>
              <w:t>验证机构</w:t>
            </w:r>
          </w:p>
        </w:tc>
        <w:tc>
          <w:tcPr>
            <w:tcW w:w="1367" w:type="dxa"/>
            <w:vAlign w:val="center"/>
          </w:tcPr>
          <w:p w14:paraId="1FD29930">
            <w:pPr>
              <w:spacing w:line="360" w:lineRule="auto"/>
              <w:ind w:firstLine="0" w:firstLineChars="0"/>
              <w:jc w:val="center"/>
              <w:rPr>
                <w:rFonts w:eastAsia="宋体"/>
                <w:b/>
                <w:sz w:val="24"/>
              </w:rPr>
            </w:pPr>
            <w:r>
              <w:rPr>
                <w:rFonts w:eastAsia="宋体"/>
                <w:b/>
                <w:sz w:val="24"/>
              </w:rPr>
              <w:t>玉林中心</w:t>
            </w:r>
          </w:p>
        </w:tc>
        <w:tc>
          <w:tcPr>
            <w:tcW w:w="1134" w:type="dxa"/>
            <w:vAlign w:val="center"/>
          </w:tcPr>
          <w:p w14:paraId="62AEABCC">
            <w:pPr>
              <w:spacing w:line="360" w:lineRule="auto"/>
              <w:ind w:firstLine="0" w:firstLineChars="0"/>
              <w:jc w:val="center"/>
              <w:rPr>
                <w:rFonts w:eastAsia="宋体"/>
                <w:b/>
                <w:sz w:val="24"/>
              </w:rPr>
            </w:pPr>
            <w:r>
              <w:rPr>
                <w:rFonts w:eastAsia="宋体"/>
                <w:b/>
                <w:sz w:val="24"/>
              </w:rPr>
              <w:t>梧州所</w:t>
            </w:r>
          </w:p>
        </w:tc>
        <w:tc>
          <w:tcPr>
            <w:tcW w:w="1417" w:type="dxa"/>
            <w:vAlign w:val="center"/>
          </w:tcPr>
          <w:p w14:paraId="2FEB8415">
            <w:pPr>
              <w:spacing w:line="360" w:lineRule="auto"/>
              <w:ind w:firstLine="0" w:firstLineChars="0"/>
              <w:jc w:val="center"/>
              <w:rPr>
                <w:rFonts w:eastAsia="宋体"/>
                <w:b/>
                <w:sz w:val="24"/>
              </w:rPr>
            </w:pPr>
            <w:r>
              <w:rPr>
                <w:rFonts w:hint="eastAsia" w:eastAsia="宋体"/>
                <w:b/>
                <w:sz w:val="24"/>
              </w:rPr>
              <w:t>质检院</w:t>
            </w:r>
          </w:p>
        </w:tc>
        <w:tc>
          <w:tcPr>
            <w:tcW w:w="1418" w:type="dxa"/>
            <w:vAlign w:val="center"/>
          </w:tcPr>
          <w:p w14:paraId="70E5E738">
            <w:pPr>
              <w:spacing w:line="360" w:lineRule="auto"/>
              <w:ind w:firstLine="0" w:firstLineChars="0"/>
              <w:jc w:val="center"/>
              <w:rPr>
                <w:rFonts w:eastAsia="宋体"/>
                <w:b/>
                <w:sz w:val="24"/>
              </w:rPr>
            </w:pPr>
            <w:r>
              <w:rPr>
                <w:rFonts w:hint="eastAsia" w:eastAsia="宋体"/>
                <w:b/>
                <w:sz w:val="24"/>
              </w:rPr>
              <w:t>广电计量</w:t>
            </w:r>
          </w:p>
        </w:tc>
        <w:tc>
          <w:tcPr>
            <w:tcW w:w="1134" w:type="dxa"/>
          </w:tcPr>
          <w:p w14:paraId="2EE36763">
            <w:pPr>
              <w:spacing w:line="360" w:lineRule="auto"/>
              <w:ind w:firstLine="0" w:firstLineChars="0"/>
              <w:jc w:val="center"/>
              <w:rPr>
                <w:rFonts w:eastAsia="宋体"/>
                <w:b/>
                <w:sz w:val="24"/>
              </w:rPr>
            </w:pPr>
            <w:r>
              <w:rPr>
                <w:rFonts w:hint="eastAsia" w:eastAsia="宋体"/>
                <w:b/>
                <w:sz w:val="24"/>
              </w:rPr>
              <w:t>平均值</w:t>
            </w:r>
          </w:p>
        </w:tc>
        <w:tc>
          <w:tcPr>
            <w:tcW w:w="1075" w:type="dxa"/>
            <w:vAlign w:val="center"/>
          </w:tcPr>
          <w:p w14:paraId="7AD83602">
            <w:pPr>
              <w:spacing w:line="360" w:lineRule="auto"/>
              <w:ind w:firstLine="0" w:firstLineChars="0"/>
              <w:jc w:val="center"/>
              <w:rPr>
                <w:rFonts w:eastAsia="宋体"/>
                <w:b/>
                <w:sz w:val="24"/>
              </w:rPr>
            </w:pPr>
            <w:r>
              <w:rPr>
                <w:rFonts w:hint="eastAsia" w:eastAsia="宋体"/>
                <w:b/>
                <w:sz w:val="24"/>
              </w:rPr>
              <w:t>RSD</w:t>
            </w:r>
          </w:p>
        </w:tc>
      </w:tr>
      <w:tr w14:paraId="20803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599" w:type="dxa"/>
            <w:vAlign w:val="center"/>
          </w:tcPr>
          <w:p w14:paraId="1A356764">
            <w:pPr>
              <w:snapToGrid w:val="0"/>
              <w:ind w:firstLine="0" w:firstLineChars="0"/>
              <w:jc w:val="center"/>
              <w:rPr>
                <w:rFonts w:eastAsia="宋体"/>
                <w:sz w:val="24"/>
              </w:rPr>
            </w:pPr>
            <w:r>
              <w:rPr>
                <w:rFonts w:hint="eastAsia" w:eastAsia="宋体"/>
                <w:sz w:val="24"/>
              </w:rPr>
              <w:t>姜黄（CurⅠ）</w:t>
            </w:r>
          </w:p>
        </w:tc>
        <w:tc>
          <w:tcPr>
            <w:tcW w:w="1367" w:type="dxa"/>
            <w:vAlign w:val="center"/>
          </w:tcPr>
          <w:p w14:paraId="1060B973">
            <w:pPr>
              <w:ind w:firstLine="0" w:firstLineChars="0"/>
              <w:jc w:val="center"/>
              <w:rPr>
                <w:rFonts w:eastAsia="宋体"/>
                <w:sz w:val="24"/>
              </w:rPr>
            </w:pPr>
            <w:r>
              <w:rPr>
                <w:rFonts w:hint="eastAsia" w:eastAsia="宋体"/>
                <w:sz w:val="24"/>
              </w:rPr>
              <w:t>1.62</w:t>
            </w:r>
          </w:p>
        </w:tc>
        <w:tc>
          <w:tcPr>
            <w:tcW w:w="1134" w:type="dxa"/>
            <w:vAlign w:val="center"/>
          </w:tcPr>
          <w:p w14:paraId="3E5215F1">
            <w:pPr>
              <w:ind w:firstLine="0" w:firstLineChars="0"/>
              <w:jc w:val="center"/>
              <w:rPr>
                <w:rFonts w:eastAsia="宋体"/>
                <w:sz w:val="24"/>
              </w:rPr>
            </w:pPr>
            <w:r>
              <w:rPr>
                <w:rFonts w:hint="eastAsia" w:eastAsia="宋体"/>
                <w:sz w:val="24"/>
              </w:rPr>
              <w:t>1.60</w:t>
            </w:r>
          </w:p>
        </w:tc>
        <w:tc>
          <w:tcPr>
            <w:tcW w:w="1417" w:type="dxa"/>
            <w:vAlign w:val="center"/>
          </w:tcPr>
          <w:p w14:paraId="3C967DED">
            <w:pPr>
              <w:ind w:firstLine="0" w:firstLineChars="0"/>
              <w:jc w:val="center"/>
              <w:rPr>
                <w:rFonts w:eastAsia="宋体"/>
                <w:sz w:val="24"/>
              </w:rPr>
            </w:pPr>
            <w:r>
              <w:rPr>
                <w:rFonts w:hint="eastAsia" w:eastAsia="宋体"/>
                <w:sz w:val="24"/>
              </w:rPr>
              <w:t>1.56</w:t>
            </w:r>
          </w:p>
        </w:tc>
        <w:tc>
          <w:tcPr>
            <w:tcW w:w="1418" w:type="dxa"/>
            <w:vAlign w:val="center"/>
          </w:tcPr>
          <w:p w14:paraId="6806D6EE">
            <w:pPr>
              <w:ind w:firstLine="0" w:firstLineChars="0"/>
              <w:jc w:val="center"/>
              <w:rPr>
                <w:rFonts w:eastAsia="宋体"/>
                <w:sz w:val="24"/>
              </w:rPr>
            </w:pPr>
            <w:r>
              <w:rPr>
                <w:rFonts w:hint="eastAsia" w:eastAsia="宋体"/>
                <w:sz w:val="24"/>
              </w:rPr>
              <w:t>1.57</w:t>
            </w:r>
          </w:p>
        </w:tc>
        <w:tc>
          <w:tcPr>
            <w:tcW w:w="1134" w:type="dxa"/>
            <w:vAlign w:val="center"/>
          </w:tcPr>
          <w:p w14:paraId="25307399">
            <w:pPr>
              <w:ind w:firstLine="0" w:firstLineChars="0"/>
              <w:jc w:val="center"/>
              <w:rPr>
                <w:rFonts w:eastAsia="宋体"/>
                <w:color w:val="000000"/>
                <w:sz w:val="24"/>
              </w:rPr>
            </w:pPr>
            <w:r>
              <w:rPr>
                <w:color w:val="000000"/>
                <w:sz w:val="24"/>
              </w:rPr>
              <w:t>1.59</w:t>
            </w:r>
          </w:p>
        </w:tc>
        <w:tc>
          <w:tcPr>
            <w:tcW w:w="1075" w:type="dxa"/>
            <w:vAlign w:val="center"/>
          </w:tcPr>
          <w:p w14:paraId="0F1E36D5">
            <w:pPr>
              <w:ind w:firstLine="0" w:firstLineChars="0"/>
              <w:jc w:val="center"/>
              <w:rPr>
                <w:rFonts w:eastAsia="宋体"/>
                <w:color w:val="000000"/>
                <w:sz w:val="24"/>
              </w:rPr>
            </w:pPr>
            <w:r>
              <w:rPr>
                <w:color w:val="000000"/>
                <w:sz w:val="24"/>
              </w:rPr>
              <w:t>1.7</w:t>
            </w:r>
          </w:p>
        </w:tc>
      </w:tr>
      <w:tr w14:paraId="21EC9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599" w:type="dxa"/>
            <w:vAlign w:val="center"/>
          </w:tcPr>
          <w:p w14:paraId="40300407">
            <w:pPr>
              <w:snapToGrid w:val="0"/>
              <w:ind w:firstLine="0" w:firstLineChars="0"/>
              <w:jc w:val="center"/>
              <w:rPr>
                <w:rFonts w:eastAsia="宋体"/>
                <w:sz w:val="24"/>
              </w:rPr>
            </w:pPr>
            <w:r>
              <w:rPr>
                <w:rFonts w:hint="eastAsia" w:eastAsia="宋体"/>
                <w:sz w:val="24"/>
              </w:rPr>
              <w:t>姜黄（CurⅡ）</w:t>
            </w:r>
          </w:p>
        </w:tc>
        <w:tc>
          <w:tcPr>
            <w:tcW w:w="1367" w:type="dxa"/>
            <w:vAlign w:val="center"/>
          </w:tcPr>
          <w:p w14:paraId="3FCD98C0">
            <w:pPr>
              <w:ind w:firstLine="0" w:firstLineChars="0"/>
              <w:jc w:val="center"/>
              <w:rPr>
                <w:rFonts w:eastAsia="宋体"/>
                <w:sz w:val="24"/>
              </w:rPr>
            </w:pPr>
            <w:r>
              <w:rPr>
                <w:rFonts w:hint="eastAsia" w:eastAsia="宋体"/>
                <w:sz w:val="24"/>
              </w:rPr>
              <w:t>0.846</w:t>
            </w:r>
          </w:p>
        </w:tc>
        <w:tc>
          <w:tcPr>
            <w:tcW w:w="1134" w:type="dxa"/>
            <w:vAlign w:val="center"/>
          </w:tcPr>
          <w:p w14:paraId="4A573211">
            <w:pPr>
              <w:ind w:firstLine="0" w:firstLineChars="0"/>
              <w:jc w:val="center"/>
              <w:rPr>
                <w:rFonts w:eastAsia="宋体"/>
                <w:sz w:val="24"/>
              </w:rPr>
            </w:pPr>
            <w:r>
              <w:rPr>
                <w:rFonts w:hint="eastAsia" w:eastAsia="宋体"/>
                <w:sz w:val="24"/>
              </w:rPr>
              <w:t>0.842</w:t>
            </w:r>
          </w:p>
        </w:tc>
        <w:tc>
          <w:tcPr>
            <w:tcW w:w="1417" w:type="dxa"/>
            <w:vAlign w:val="center"/>
          </w:tcPr>
          <w:p w14:paraId="72CDF839">
            <w:pPr>
              <w:ind w:firstLine="0" w:firstLineChars="0"/>
              <w:jc w:val="center"/>
              <w:rPr>
                <w:rFonts w:eastAsia="宋体"/>
                <w:sz w:val="24"/>
              </w:rPr>
            </w:pPr>
            <w:r>
              <w:rPr>
                <w:rFonts w:hint="eastAsia" w:eastAsia="宋体"/>
                <w:sz w:val="24"/>
              </w:rPr>
              <w:t>0.812</w:t>
            </w:r>
          </w:p>
        </w:tc>
        <w:tc>
          <w:tcPr>
            <w:tcW w:w="1418" w:type="dxa"/>
            <w:vAlign w:val="center"/>
          </w:tcPr>
          <w:p w14:paraId="70C8B693">
            <w:pPr>
              <w:ind w:firstLine="0" w:firstLineChars="0"/>
              <w:jc w:val="center"/>
              <w:rPr>
                <w:rFonts w:eastAsia="宋体"/>
                <w:sz w:val="24"/>
              </w:rPr>
            </w:pPr>
            <w:r>
              <w:rPr>
                <w:rFonts w:hint="eastAsia" w:eastAsia="宋体"/>
                <w:sz w:val="24"/>
              </w:rPr>
              <w:t>0.818</w:t>
            </w:r>
          </w:p>
        </w:tc>
        <w:tc>
          <w:tcPr>
            <w:tcW w:w="1134" w:type="dxa"/>
            <w:vAlign w:val="center"/>
          </w:tcPr>
          <w:p w14:paraId="6B21F472">
            <w:pPr>
              <w:ind w:firstLine="0" w:firstLineChars="0"/>
              <w:jc w:val="center"/>
              <w:rPr>
                <w:rFonts w:eastAsia="宋体"/>
                <w:color w:val="000000"/>
                <w:sz w:val="24"/>
              </w:rPr>
            </w:pPr>
            <w:r>
              <w:rPr>
                <w:color w:val="000000"/>
                <w:sz w:val="24"/>
              </w:rPr>
              <w:t>0.830</w:t>
            </w:r>
          </w:p>
        </w:tc>
        <w:tc>
          <w:tcPr>
            <w:tcW w:w="1075" w:type="dxa"/>
            <w:vAlign w:val="center"/>
          </w:tcPr>
          <w:p w14:paraId="42BAE956">
            <w:pPr>
              <w:ind w:firstLine="0" w:firstLineChars="0"/>
              <w:jc w:val="center"/>
              <w:rPr>
                <w:rFonts w:eastAsia="宋体"/>
                <w:color w:val="000000"/>
                <w:sz w:val="24"/>
              </w:rPr>
            </w:pPr>
            <w:r>
              <w:rPr>
                <w:color w:val="000000"/>
                <w:sz w:val="24"/>
              </w:rPr>
              <w:t>2.0</w:t>
            </w:r>
          </w:p>
        </w:tc>
      </w:tr>
      <w:tr w14:paraId="132F5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599" w:type="dxa"/>
            <w:vAlign w:val="center"/>
          </w:tcPr>
          <w:p w14:paraId="67BB00A8">
            <w:pPr>
              <w:snapToGrid w:val="0"/>
              <w:ind w:firstLine="0" w:firstLineChars="0"/>
              <w:jc w:val="center"/>
              <w:rPr>
                <w:rFonts w:eastAsia="宋体"/>
                <w:sz w:val="24"/>
              </w:rPr>
            </w:pPr>
            <w:r>
              <w:rPr>
                <w:rFonts w:hint="eastAsia" w:eastAsia="宋体"/>
                <w:sz w:val="24"/>
              </w:rPr>
              <w:t>姜黄（CurⅢ）</w:t>
            </w:r>
          </w:p>
        </w:tc>
        <w:tc>
          <w:tcPr>
            <w:tcW w:w="1367" w:type="dxa"/>
            <w:vAlign w:val="center"/>
          </w:tcPr>
          <w:p w14:paraId="088579AD">
            <w:pPr>
              <w:ind w:firstLine="0" w:firstLineChars="0"/>
              <w:jc w:val="center"/>
              <w:rPr>
                <w:rFonts w:eastAsia="宋体"/>
                <w:sz w:val="24"/>
              </w:rPr>
            </w:pPr>
            <w:r>
              <w:rPr>
                <w:rFonts w:hint="eastAsia" w:eastAsia="宋体"/>
                <w:sz w:val="24"/>
              </w:rPr>
              <w:t>1.06</w:t>
            </w:r>
          </w:p>
        </w:tc>
        <w:tc>
          <w:tcPr>
            <w:tcW w:w="1134" w:type="dxa"/>
            <w:vAlign w:val="center"/>
          </w:tcPr>
          <w:p w14:paraId="143DDF9F">
            <w:pPr>
              <w:ind w:firstLine="0" w:firstLineChars="0"/>
              <w:jc w:val="center"/>
              <w:rPr>
                <w:rFonts w:eastAsia="宋体"/>
                <w:sz w:val="24"/>
              </w:rPr>
            </w:pPr>
            <w:r>
              <w:rPr>
                <w:rFonts w:hint="eastAsia" w:eastAsia="宋体"/>
                <w:sz w:val="24"/>
              </w:rPr>
              <w:t>1.06</w:t>
            </w:r>
          </w:p>
        </w:tc>
        <w:tc>
          <w:tcPr>
            <w:tcW w:w="1417" w:type="dxa"/>
            <w:vAlign w:val="center"/>
          </w:tcPr>
          <w:p w14:paraId="6CCFD171">
            <w:pPr>
              <w:ind w:firstLine="0" w:firstLineChars="0"/>
              <w:jc w:val="center"/>
              <w:rPr>
                <w:rFonts w:eastAsia="宋体"/>
                <w:sz w:val="24"/>
              </w:rPr>
            </w:pPr>
            <w:r>
              <w:rPr>
                <w:rFonts w:hint="eastAsia" w:eastAsia="宋体"/>
                <w:sz w:val="24"/>
              </w:rPr>
              <w:t>1.03</w:t>
            </w:r>
          </w:p>
        </w:tc>
        <w:tc>
          <w:tcPr>
            <w:tcW w:w="1418" w:type="dxa"/>
            <w:vAlign w:val="center"/>
          </w:tcPr>
          <w:p w14:paraId="77D0A187">
            <w:pPr>
              <w:ind w:firstLine="0" w:firstLineChars="0"/>
              <w:jc w:val="center"/>
              <w:rPr>
                <w:rFonts w:eastAsia="宋体"/>
                <w:sz w:val="24"/>
              </w:rPr>
            </w:pPr>
            <w:r>
              <w:rPr>
                <w:rFonts w:hint="eastAsia" w:eastAsia="宋体"/>
                <w:sz w:val="24"/>
              </w:rPr>
              <w:t>1.04</w:t>
            </w:r>
          </w:p>
        </w:tc>
        <w:tc>
          <w:tcPr>
            <w:tcW w:w="1134" w:type="dxa"/>
            <w:vAlign w:val="center"/>
          </w:tcPr>
          <w:p w14:paraId="0598C413">
            <w:pPr>
              <w:ind w:firstLine="0" w:firstLineChars="0"/>
              <w:jc w:val="center"/>
              <w:rPr>
                <w:rFonts w:eastAsia="宋体"/>
                <w:color w:val="000000"/>
                <w:sz w:val="24"/>
              </w:rPr>
            </w:pPr>
            <w:r>
              <w:rPr>
                <w:color w:val="000000"/>
                <w:sz w:val="24"/>
              </w:rPr>
              <w:t>1.05</w:t>
            </w:r>
          </w:p>
        </w:tc>
        <w:tc>
          <w:tcPr>
            <w:tcW w:w="1075" w:type="dxa"/>
            <w:vAlign w:val="center"/>
          </w:tcPr>
          <w:p w14:paraId="01C22869">
            <w:pPr>
              <w:ind w:firstLine="0" w:firstLineChars="0"/>
              <w:jc w:val="center"/>
              <w:rPr>
                <w:rFonts w:eastAsia="宋体"/>
                <w:color w:val="000000"/>
                <w:sz w:val="24"/>
              </w:rPr>
            </w:pPr>
            <w:r>
              <w:rPr>
                <w:color w:val="000000"/>
                <w:sz w:val="24"/>
              </w:rPr>
              <w:t>1.4</w:t>
            </w:r>
          </w:p>
        </w:tc>
      </w:tr>
      <w:tr w14:paraId="226E0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599" w:type="dxa"/>
            <w:vAlign w:val="center"/>
          </w:tcPr>
          <w:p w14:paraId="5EEDFE13">
            <w:pPr>
              <w:snapToGrid w:val="0"/>
              <w:ind w:firstLine="0" w:firstLineChars="0"/>
              <w:jc w:val="center"/>
              <w:rPr>
                <w:rFonts w:eastAsia="宋体"/>
                <w:sz w:val="24"/>
              </w:rPr>
            </w:pPr>
            <w:r>
              <w:rPr>
                <w:rFonts w:hint="eastAsia" w:eastAsia="宋体"/>
                <w:sz w:val="24"/>
              </w:rPr>
              <w:t>姜黄制品（CurⅠ）</w:t>
            </w:r>
          </w:p>
        </w:tc>
        <w:tc>
          <w:tcPr>
            <w:tcW w:w="1367" w:type="dxa"/>
            <w:vAlign w:val="center"/>
          </w:tcPr>
          <w:p w14:paraId="12480AD2">
            <w:pPr>
              <w:ind w:firstLine="0" w:firstLineChars="0"/>
              <w:jc w:val="center"/>
              <w:rPr>
                <w:rFonts w:eastAsia="宋体"/>
                <w:sz w:val="24"/>
              </w:rPr>
            </w:pPr>
            <w:r>
              <w:rPr>
                <w:rFonts w:hint="eastAsia" w:eastAsia="宋体"/>
                <w:sz w:val="24"/>
              </w:rPr>
              <w:t>0.916</w:t>
            </w:r>
          </w:p>
        </w:tc>
        <w:tc>
          <w:tcPr>
            <w:tcW w:w="1134" w:type="dxa"/>
            <w:vAlign w:val="center"/>
          </w:tcPr>
          <w:p w14:paraId="1E1B61F0">
            <w:pPr>
              <w:ind w:firstLine="0" w:firstLineChars="0"/>
              <w:jc w:val="center"/>
              <w:rPr>
                <w:rFonts w:eastAsia="宋体"/>
                <w:sz w:val="24"/>
              </w:rPr>
            </w:pPr>
            <w:r>
              <w:rPr>
                <w:rFonts w:hint="eastAsia" w:eastAsia="宋体"/>
                <w:sz w:val="24"/>
              </w:rPr>
              <w:t>0.919</w:t>
            </w:r>
          </w:p>
        </w:tc>
        <w:tc>
          <w:tcPr>
            <w:tcW w:w="1417" w:type="dxa"/>
            <w:vAlign w:val="center"/>
          </w:tcPr>
          <w:p w14:paraId="4F4FB670">
            <w:pPr>
              <w:ind w:firstLine="0" w:firstLineChars="0"/>
              <w:jc w:val="center"/>
              <w:rPr>
                <w:rFonts w:eastAsia="宋体"/>
                <w:sz w:val="24"/>
              </w:rPr>
            </w:pPr>
            <w:r>
              <w:rPr>
                <w:rFonts w:hint="eastAsia" w:eastAsia="宋体"/>
                <w:sz w:val="24"/>
              </w:rPr>
              <w:t>0.862</w:t>
            </w:r>
          </w:p>
        </w:tc>
        <w:tc>
          <w:tcPr>
            <w:tcW w:w="1418" w:type="dxa"/>
            <w:vAlign w:val="center"/>
          </w:tcPr>
          <w:p w14:paraId="342027B3">
            <w:pPr>
              <w:ind w:firstLine="0" w:firstLineChars="0"/>
              <w:jc w:val="center"/>
              <w:rPr>
                <w:rFonts w:eastAsia="宋体"/>
                <w:sz w:val="24"/>
              </w:rPr>
            </w:pPr>
            <w:r>
              <w:rPr>
                <w:rFonts w:hint="eastAsia" w:eastAsia="宋体"/>
                <w:sz w:val="24"/>
              </w:rPr>
              <w:t>0.866</w:t>
            </w:r>
          </w:p>
        </w:tc>
        <w:tc>
          <w:tcPr>
            <w:tcW w:w="1134" w:type="dxa"/>
            <w:vAlign w:val="center"/>
          </w:tcPr>
          <w:p w14:paraId="72DBA067">
            <w:pPr>
              <w:ind w:firstLine="0" w:firstLineChars="0"/>
              <w:jc w:val="center"/>
              <w:rPr>
                <w:rFonts w:eastAsia="宋体"/>
                <w:color w:val="000000"/>
                <w:sz w:val="24"/>
              </w:rPr>
            </w:pPr>
            <w:r>
              <w:rPr>
                <w:color w:val="000000"/>
                <w:sz w:val="24"/>
              </w:rPr>
              <w:t>0.891</w:t>
            </w:r>
          </w:p>
        </w:tc>
        <w:tc>
          <w:tcPr>
            <w:tcW w:w="1075" w:type="dxa"/>
            <w:vAlign w:val="center"/>
          </w:tcPr>
          <w:p w14:paraId="762B45B8">
            <w:pPr>
              <w:ind w:firstLine="0" w:firstLineChars="0"/>
              <w:jc w:val="center"/>
              <w:rPr>
                <w:rFonts w:eastAsia="宋体"/>
                <w:color w:val="000000"/>
                <w:sz w:val="24"/>
              </w:rPr>
            </w:pPr>
            <w:r>
              <w:rPr>
                <w:color w:val="000000"/>
                <w:sz w:val="24"/>
              </w:rPr>
              <w:t>3.5</w:t>
            </w:r>
          </w:p>
        </w:tc>
      </w:tr>
      <w:tr w14:paraId="29877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599" w:type="dxa"/>
            <w:vAlign w:val="center"/>
          </w:tcPr>
          <w:p w14:paraId="1F17DFDC">
            <w:pPr>
              <w:snapToGrid w:val="0"/>
              <w:ind w:firstLine="0" w:firstLineChars="0"/>
              <w:jc w:val="center"/>
              <w:rPr>
                <w:rFonts w:eastAsia="宋体"/>
                <w:sz w:val="24"/>
              </w:rPr>
            </w:pPr>
            <w:r>
              <w:rPr>
                <w:rFonts w:hint="eastAsia" w:eastAsia="宋体"/>
                <w:sz w:val="24"/>
              </w:rPr>
              <w:t>姜黄制品（CurⅡ）</w:t>
            </w:r>
          </w:p>
        </w:tc>
        <w:tc>
          <w:tcPr>
            <w:tcW w:w="1367" w:type="dxa"/>
            <w:vAlign w:val="center"/>
          </w:tcPr>
          <w:p w14:paraId="14C99110">
            <w:pPr>
              <w:ind w:firstLine="0" w:firstLineChars="0"/>
              <w:jc w:val="center"/>
              <w:rPr>
                <w:rFonts w:eastAsia="宋体"/>
                <w:sz w:val="24"/>
              </w:rPr>
            </w:pPr>
            <w:r>
              <w:rPr>
                <w:rFonts w:hint="eastAsia" w:eastAsia="宋体"/>
                <w:sz w:val="24"/>
              </w:rPr>
              <w:t>0.480</w:t>
            </w:r>
          </w:p>
        </w:tc>
        <w:tc>
          <w:tcPr>
            <w:tcW w:w="1134" w:type="dxa"/>
            <w:vAlign w:val="center"/>
          </w:tcPr>
          <w:p w14:paraId="3A81007A">
            <w:pPr>
              <w:ind w:firstLine="0" w:firstLineChars="0"/>
              <w:jc w:val="center"/>
              <w:rPr>
                <w:rFonts w:eastAsia="宋体"/>
                <w:sz w:val="24"/>
              </w:rPr>
            </w:pPr>
            <w:r>
              <w:rPr>
                <w:rFonts w:hint="eastAsia" w:eastAsia="宋体"/>
                <w:sz w:val="24"/>
              </w:rPr>
              <w:t>0.484</w:t>
            </w:r>
          </w:p>
        </w:tc>
        <w:tc>
          <w:tcPr>
            <w:tcW w:w="1417" w:type="dxa"/>
            <w:vAlign w:val="center"/>
          </w:tcPr>
          <w:p w14:paraId="42E3DB85">
            <w:pPr>
              <w:ind w:firstLine="0" w:firstLineChars="0"/>
              <w:jc w:val="center"/>
              <w:rPr>
                <w:rFonts w:eastAsia="宋体"/>
                <w:sz w:val="24"/>
              </w:rPr>
            </w:pPr>
            <w:r>
              <w:rPr>
                <w:rFonts w:hint="eastAsia" w:eastAsia="宋体"/>
                <w:sz w:val="24"/>
              </w:rPr>
              <w:t>0.444</w:t>
            </w:r>
          </w:p>
        </w:tc>
        <w:tc>
          <w:tcPr>
            <w:tcW w:w="1418" w:type="dxa"/>
            <w:vAlign w:val="center"/>
          </w:tcPr>
          <w:p w14:paraId="0F6D8915">
            <w:pPr>
              <w:ind w:firstLine="0" w:firstLineChars="0"/>
              <w:jc w:val="center"/>
              <w:rPr>
                <w:rFonts w:eastAsia="宋体"/>
                <w:sz w:val="24"/>
              </w:rPr>
            </w:pPr>
            <w:r>
              <w:rPr>
                <w:rFonts w:hint="eastAsia" w:eastAsia="宋体"/>
                <w:sz w:val="24"/>
              </w:rPr>
              <w:t>0.447</w:t>
            </w:r>
          </w:p>
        </w:tc>
        <w:tc>
          <w:tcPr>
            <w:tcW w:w="1134" w:type="dxa"/>
            <w:vAlign w:val="center"/>
          </w:tcPr>
          <w:p w14:paraId="078F5AB4">
            <w:pPr>
              <w:ind w:firstLine="0" w:firstLineChars="0"/>
              <w:jc w:val="center"/>
              <w:rPr>
                <w:rFonts w:eastAsia="宋体"/>
                <w:color w:val="000000"/>
                <w:sz w:val="24"/>
              </w:rPr>
            </w:pPr>
            <w:r>
              <w:rPr>
                <w:color w:val="000000"/>
                <w:sz w:val="24"/>
              </w:rPr>
              <w:t>0.464</w:t>
            </w:r>
          </w:p>
        </w:tc>
        <w:tc>
          <w:tcPr>
            <w:tcW w:w="1075" w:type="dxa"/>
            <w:vAlign w:val="center"/>
          </w:tcPr>
          <w:p w14:paraId="2556388A">
            <w:pPr>
              <w:ind w:firstLine="0" w:firstLineChars="0"/>
              <w:jc w:val="center"/>
              <w:rPr>
                <w:rFonts w:eastAsia="宋体"/>
                <w:color w:val="000000"/>
                <w:sz w:val="24"/>
              </w:rPr>
            </w:pPr>
            <w:r>
              <w:rPr>
                <w:color w:val="000000"/>
                <w:sz w:val="24"/>
              </w:rPr>
              <w:t>4.6</w:t>
            </w:r>
          </w:p>
        </w:tc>
      </w:tr>
      <w:tr w14:paraId="34025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599" w:type="dxa"/>
            <w:vAlign w:val="center"/>
          </w:tcPr>
          <w:p w14:paraId="4A1FD875">
            <w:pPr>
              <w:snapToGrid w:val="0"/>
              <w:ind w:firstLine="0" w:firstLineChars="0"/>
              <w:jc w:val="center"/>
              <w:rPr>
                <w:rFonts w:eastAsia="宋体"/>
                <w:sz w:val="24"/>
              </w:rPr>
            </w:pPr>
            <w:r>
              <w:rPr>
                <w:rFonts w:hint="eastAsia" w:eastAsia="宋体"/>
                <w:sz w:val="24"/>
              </w:rPr>
              <w:t>姜黄制品（CurⅢ）</w:t>
            </w:r>
          </w:p>
        </w:tc>
        <w:tc>
          <w:tcPr>
            <w:tcW w:w="1367" w:type="dxa"/>
            <w:vAlign w:val="center"/>
          </w:tcPr>
          <w:p w14:paraId="246F7B52">
            <w:pPr>
              <w:ind w:firstLine="0" w:firstLineChars="0"/>
              <w:jc w:val="center"/>
              <w:rPr>
                <w:rFonts w:eastAsia="宋体"/>
                <w:sz w:val="24"/>
              </w:rPr>
            </w:pPr>
            <w:r>
              <w:rPr>
                <w:rFonts w:hint="eastAsia" w:eastAsia="宋体"/>
                <w:sz w:val="24"/>
              </w:rPr>
              <w:t>0.597</w:t>
            </w:r>
          </w:p>
        </w:tc>
        <w:tc>
          <w:tcPr>
            <w:tcW w:w="1134" w:type="dxa"/>
            <w:vAlign w:val="center"/>
          </w:tcPr>
          <w:p w14:paraId="2D105473">
            <w:pPr>
              <w:ind w:firstLine="0" w:firstLineChars="0"/>
              <w:jc w:val="center"/>
              <w:rPr>
                <w:rFonts w:eastAsia="宋体"/>
                <w:sz w:val="24"/>
              </w:rPr>
            </w:pPr>
            <w:r>
              <w:rPr>
                <w:rFonts w:hint="eastAsia" w:eastAsia="宋体"/>
                <w:sz w:val="24"/>
              </w:rPr>
              <w:t>0.600</w:t>
            </w:r>
          </w:p>
        </w:tc>
        <w:tc>
          <w:tcPr>
            <w:tcW w:w="1417" w:type="dxa"/>
            <w:vAlign w:val="center"/>
          </w:tcPr>
          <w:p w14:paraId="1D0FD07A">
            <w:pPr>
              <w:ind w:firstLine="0" w:firstLineChars="0"/>
              <w:jc w:val="center"/>
              <w:rPr>
                <w:rFonts w:eastAsia="宋体"/>
                <w:sz w:val="24"/>
              </w:rPr>
            </w:pPr>
            <w:r>
              <w:rPr>
                <w:rFonts w:hint="eastAsia" w:eastAsia="宋体"/>
                <w:sz w:val="24"/>
              </w:rPr>
              <w:t>0.561</w:t>
            </w:r>
          </w:p>
        </w:tc>
        <w:tc>
          <w:tcPr>
            <w:tcW w:w="1418" w:type="dxa"/>
            <w:vAlign w:val="center"/>
          </w:tcPr>
          <w:p w14:paraId="060A335D">
            <w:pPr>
              <w:ind w:firstLine="0" w:firstLineChars="0"/>
              <w:jc w:val="center"/>
              <w:rPr>
                <w:rFonts w:eastAsia="宋体"/>
                <w:sz w:val="24"/>
              </w:rPr>
            </w:pPr>
            <w:r>
              <w:rPr>
                <w:rFonts w:hint="eastAsia" w:eastAsia="宋体"/>
                <w:sz w:val="24"/>
              </w:rPr>
              <w:t>0.565</w:t>
            </w:r>
          </w:p>
        </w:tc>
        <w:tc>
          <w:tcPr>
            <w:tcW w:w="1134" w:type="dxa"/>
            <w:vAlign w:val="center"/>
          </w:tcPr>
          <w:p w14:paraId="2535E94B">
            <w:pPr>
              <w:ind w:firstLine="0" w:firstLineChars="0"/>
              <w:jc w:val="center"/>
              <w:rPr>
                <w:rFonts w:eastAsia="宋体"/>
                <w:color w:val="000000"/>
                <w:sz w:val="24"/>
              </w:rPr>
            </w:pPr>
            <w:r>
              <w:rPr>
                <w:color w:val="000000"/>
                <w:sz w:val="24"/>
              </w:rPr>
              <w:t>0.581</w:t>
            </w:r>
          </w:p>
        </w:tc>
        <w:tc>
          <w:tcPr>
            <w:tcW w:w="1075" w:type="dxa"/>
            <w:vAlign w:val="center"/>
          </w:tcPr>
          <w:p w14:paraId="12717A6E">
            <w:pPr>
              <w:ind w:firstLine="0" w:firstLineChars="0"/>
              <w:jc w:val="center"/>
              <w:rPr>
                <w:rFonts w:eastAsia="宋体"/>
                <w:color w:val="000000"/>
                <w:sz w:val="24"/>
              </w:rPr>
            </w:pPr>
            <w:r>
              <w:rPr>
                <w:color w:val="000000"/>
                <w:sz w:val="24"/>
              </w:rPr>
              <w:t>3.5</w:t>
            </w:r>
          </w:p>
        </w:tc>
      </w:tr>
    </w:tbl>
    <w:p w14:paraId="38E75F7A">
      <w:pPr>
        <w:pStyle w:val="3"/>
        <w:ind w:left="0" w:firstLine="640" w:firstLineChars="200"/>
        <w:rPr>
          <w:rFonts w:ascii="仿宋_GB2312" w:hAnsi="宋体" w:eastAsia="仿宋_GB2312"/>
          <w:sz w:val="32"/>
          <w:szCs w:val="32"/>
        </w:rPr>
      </w:pPr>
      <w:r>
        <w:rPr>
          <w:rFonts w:hint="eastAsia" w:ascii="仿宋_GB2312" w:hAnsi="宋体" w:eastAsia="仿宋_GB2312"/>
          <w:sz w:val="32"/>
          <w:szCs w:val="32"/>
        </w:rPr>
        <w:t>5、准确度（加标回收率）</w:t>
      </w:r>
    </w:p>
    <w:p w14:paraId="377AF793">
      <w:pPr>
        <w:pStyle w:val="3"/>
        <w:ind w:left="0" w:firstLine="640" w:firstLineChars="200"/>
      </w:pPr>
      <w:r>
        <w:rPr>
          <w:rFonts w:hint="eastAsia" w:ascii="仿宋_GB2312" w:hAnsi="宋体" w:eastAsia="仿宋_GB2312"/>
          <w:sz w:val="32"/>
          <w:szCs w:val="32"/>
        </w:rPr>
        <w:t>4家实验室分别测定了姜黄及姜黄制品中CurⅠ、CurⅡ、CurⅢ的加标回收率，结果如表7所示：姜黄中CurⅠ、CurⅡ、CurⅢ的平均回收率分别为103.9%、103.7%、103.7%，RSD为1.0～2.8%（</w:t>
      </w:r>
      <w:r>
        <w:rPr>
          <w:rFonts w:hint="eastAsia" w:ascii="仿宋_GB2312" w:hAnsi="宋体" w:eastAsia="仿宋_GB2312"/>
          <w:i/>
          <w:sz w:val="32"/>
          <w:szCs w:val="32"/>
        </w:rPr>
        <w:t>n=6</w:t>
      </w:r>
      <w:r>
        <w:rPr>
          <w:rFonts w:hint="eastAsia" w:ascii="仿宋_GB2312" w:hAnsi="宋体" w:eastAsia="仿宋_GB2312"/>
          <w:sz w:val="32"/>
          <w:szCs w:val="32"/>
        </w:rPr>
        <w:t>）；姜黄制品中CurⅠ、CurⅡ、CurⅢ的平均回收率分别为102.4%、102.5%、102.5%，RSD为0.6～2.2%（</w:t>
      </w:r>
      <w:r>
        <w:rPr>
          <w:rFonts w:hint="eastAsia" w:ascii="仿宋_GB2312" w:hAnsi="宋体" w:eastAsia="仿宋_GB2312"/>
          <w:i/>
          <w:sz w:val="32"/>
          <w:szCs w:val="32"/>
        </w:rPr>
        <w:t>n=6</w:t>
      </w:r>
      <w:r>
        <w:rPr>
          <w:rFonts w:hint="eastAsia" w:ascii="仿宋_GB2312" w:hAnsi="宋体" w:eastAsia="仿宋_GB2312"/>
          <w:sz w:val="32"/>
          <w:szCs w:val="32"/>
        </w:rPr>
        <w:t>）。表明本方法准确度良好，符合相关检测要求。</w:t>
      </w:r>
    </w:p>
    <w:p w14:paraId="67CC5130">
      <w:pPr>
        <w:pStyle w:val="33"/>
        <w:ind w:left="1132" w:firstLine="0" w:firstLineChars="0"/>
        <w:rPr>
          <w:szCs w:val="32"/>
        </w:rPr>
      </w:pPr>
      <w:r>
        <w:rPr>
          <w:rFonts w:hint="eastAsia" w:eastAsia="黑体"/>
          <w:szCs w:val="32"/>
        </w:rPr>
        <w:t>表7：方法的准确度（加标回收率）试验结果（单位</w:t>
      </w:r>
      <w:r>
        <w:rPr>
          <w:rFonts w:eastAsia="黑体"/>
          <w:szCs w:val="32"/>
        </w:rPr>
        <w:t>：</w:t>
      </w:r>
      <w:r>
        <w:rPr>
          <w:rFonts w:hint="eastAsia" w:eastAsia="黑体"/>
          <w:szCs w:val="32"/>
        </w:rPr>
        <w:t>%）</w:t>
      </w:r>
    </w:p>
    <w:tbl>
      <w:tblPr>
        <w:tblStyle w:val="9"/>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1"/>
        <w:gridCol w:w="1426"/>
        <w:gridCol w:w="1126"/>
        <w:gridCol w:w="1426"/>
        <w:gridCol w:w="1417"/>
        <w:gridCol w:w="1134"/>
        <w:gridCol w:w="1058"/>
      </w:tblGrid>
      <w:tr w14:paraId="2A631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551" w:type="dxa"/>
            <w:vAlign w:val="center"/>
          </w:tcPr>
          <w:p w14:paraId="4600E82C">
            <w:pPr>
              <w:ind w:firstLine="0" w:firstLineChars="0"/>
              <w:jc w:val="center"/>
              <w:rPr>
                <w:rFonts w:eastAsia="宋体"/>
                <w:b/>
                <w:sz w:val="24"/>
              </w:rPr>
            </w:pPr>
            <w:r>
              <w:rPr>
                <w:rFonts w:eastAsia="宋体"/>
                <w:b/>
                <w:sz w:val="24"/>
              </w:rPr>
              <w:t>验证机构</w:t>
            </w:r>
          </w:p>
        </w:tc>
        <w:tc>
          <w:tcPr>
            <w:tcW w:w="1426" w:type="dxa"/>
            <w:vAlign w:val="center"/>
          </w:tcPr>
          <w:p w14:paraId="1EE4DA73">
            <w:pPr>
              <w:spacing w:line="360" w:lineRule="auto"/>
              <w:ind w:firstLine="0" w:firstLineChars="0"/>
              <w:jc w:val="center"/>
              <w:rPr>
                <w:rFonts w:eastAsia="宋体"/>
                <w:b/>
                <w:sz w:val="24"/>
              </w:rPr>
            </w:pPr>
            <w:r>
              <w:rPr>
                <w:rFonts w:eastAsia="宋体"/>
                <w:b/>
                <w:sz w:val="24"/>
              </w:rPr>
              <w:t>玉林中心</w:t>
            </w:r>
          </w:p>
        </w:tc>
        <w:tc>
          <w:tcPr>
            <w:tcW w:w="1126" w:type="dxa"/>
            <w:vAlign w:val="center"/>
          </w:tcPr>
          <w:p w14:paraId="0B4551C4">
            <w:pPr>
              <w:spacing w:line="360" w:lineRule="auto"/>
              <w:ind w:firstLine="0" w:firstLineChars="0"/>
              <w:jc w:val="center"/>
              <w:rPr>
                <w:rFonts w:eastAsia="宋体"/>
                <w:b/>
                <w:sz w:val="24"/>
              </w:rPr>
            </w:pPr>
            <w:r>
              <w:rPr>
                <w:rFonts w:eastAsia="宋体"/>
                <w:b/>
                <w:sz w:val="24"/>
              </w:rPr>
              <w:t>梧州所</w:t>
            </w:r>
          </w:p>
        </w:tc>
        <w:tc>
          <w:tcPr>
            <w:tcW w:w="1426" w:type="dxa"/>
            <w:vAlign w:val="center"/>
          </w:tcPr>
          <w:p w14:paraId="6DC18EC2">
            <w:pPr>
              <w:spacing w:line="360" w:lineRule="auto"/>
              <w:ind w:firstLine="0" w:firstLineChars="0"/>
              <w:jc w:val="center"/>
              <w:rPr>
                <w:rFonts w:eastAsia="宋体"/>
                <w:b/>
                <w:sz w:val="24"/>
              </w:rPr>
            </w:pPr>
            <w:r>
              <w:rPr>
                <w:rFonts w:hint="eastAsia" w:eastAsia="宋体"/>
                <w:b/>
                <w:sz w:val="24"/>
              </w:rPr>
              <w:t>质检院</w:t>
            </w:r>
          </w:p>
        </w:tc>
        <w:tc>
          <w:tcPr>
            <w:tcW w:w="1417" w:type="dxa"/>
            <w:vAlign w:val="center"/>
          </w:tcPr>
          <w:p w14:paraId="38F89990">
            <w:pPr>
              <w:spacing w:line="360" w:lineRule="auto"/>
              <w:ind w:firstLine="0" w:firstLineChars="0"/>
              <w:jc w:val="center"/>
              <w:rPr>
                <w:rFonts w:eastAsia="宋体"/>
                <w:b/>
                <w:sz w:val="24"/>
              </w:rPr>
            </w:pPr>
            <w:r>
              <w:rPr>
                <w:rFonts w:hint="eastAsia" w:eastAsia="宋体"/>
                <w:b/>
                <w:sz w:val="24"/>
              </w:rPr>
              <w:t>广电</w:t>
            </w:r>
            <w:r>
              <w:rPr>
                <w:rFonts w:eastAsia="宋体"/>
                <w:b/>
                <w:sz w:val="24"/>
              </w:rPr>
              <w:t>计量</w:t>
            </w:r>
          </w:p>
        </w:tc>
        <w:tc>
          <w:tcPr>
            <w:tcW w:w="1134" w:type="dxa"/>
            <w:vAlign w:val="center"/>
          </w:tcPr>
          <w:p w14:paraId="7F395A33">
            <w:pPr>
              <w:spacing w:line="360" w:lineRule="auto"/>
              <w:ind w:firstLine="0" w:firstLineChars="0"/>
              <w:jc w:val="center"/>
              <w:rPr>
                <w:rFonts w:eastAsia="宋体"/>
                <w:b/>
                <w:sz w:val="24"/>
              </w:rPr>
            </w:pPr>
            <w:r>
              <w:rPr>
                <w:rFonts w:hint="eastAsia" w:eastAsia="宋体"/>
                <w:b/>
                <w:sz w:val="24"/>
              </w:rPr>
              <w:t>平均值</w:t>
            </w:r>
          </w:p>
        </w:tc>
        <w:tc>
          <w:tcPr>
            <w:tcW w:w="1058" w:type="dxa"/>
            <w:vAlign w:val="center"/>
          </w:tcPr>
          <w:p w14:paraId="72DBA8D2">
            <w:pPr>
              <w:spacing w:line="360" w:lineRule="auto"/>
              <w:ind w:firstLine="0" w:firstLineChars="0"/>
              <w:jc w:val="center"/>
              <w:rPr>
                <w:rFonts w:eastAsia="宋体"/>
                <w:b/>
                <w:sz w:val="24"/>
              </w:rPr>
            </w:pPr>
            <w:r>
              <w:rPr>
                <w:rFonts w:hint="eastAsia" w:eastAsia="宋体"/>
                <w:b/>
                <w:sz w:val="24"/>
              </w:rPr>
              <w:t>RSD</w:t>
            </w:r>
          </w:p>
        </w:tc>
      </w:tr>
      <w:tr w14:paraId="6E7C5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551" w:type="dxa"/>
            <w:vAlign w:val="center"/>
          </w:tcPr>
          <w:p w14:paraId="4DCED92F">
            <w:pPr>
              <w:snapToGrid w:val="0"/>
              <w:ind w:firstLine="0" w:firstLineChars="0"/>
              <w:jc w:val="center"/>
              <w:rPr>
                <w:rFonts w:eastAsia="宋体"/>
                <w:sz w:val="24"/>
              </w:rPr>
            </w:pPr>
            <w:r>
              <w:rPr>
                <w:rFonts w:hint="eastAsia" w:eastAsia="宋体"/>
                <w:sz w:val="24"/>
              </w:rPr>
              <w:t>姜黄（CurⅠ）</w:t>
            </w:r>
          </w:p>
        </w:tc>
        <w:tc>
          <w:tcPr>
            <w:tcW w:w="1426" w:type="dxa"/>
            <w:vAlign w:val="center"/>
          </w:tcPr>
          <w:p w14:paraId="7ED67365">
            <w:pPr>
              <w:ind w:firstLine="0" w:firstLineChars="0"/>
              <w:jc w:val="center"/>
              <w:rPr>
                <w:rFonts w:eastAsia="宋体"/>
                <w:sz w:val="24"/>
              </w:rPr>
            </w:pPr>
            <w:r>
              <w:rPr>
                <w:rFonts w:hint="eastAsia" w:eastAsia="宋体"/>
                <w:sz w:val="24"/>
              </w:rPr>
              <w:t>102.2</w:t>
            </w:r>
          </w:p>
        </w:tc>
        <w:tc>
          <w:tcPr>
            <w:tcW w:w="1126" w:type="dxa"/>
            <w:vAlign w:val="center"/>
          </w:tcPr>
          <w:p w14:paraId="27E029B5">
            <w:pPr>
              <w:ind w:firstLine="0" w:firstLineChars="0"/>
              <w:jc w:val="center"/>
              <w:rPr>
                <w:rFonts w:eastAsia="宋体"/>
                <w:sz w:val="24"/>
              </w:rPr>
            </w:pPr>
            <w:r>
              <w:rPr>
                <w:rFonts w:hint="eastAsia" w:eastAsia="宋体"/>
                <w:sz w:val="24"/>
              </w:rPr>
              <w:t>100.7</w:t>
            </w:r>
          </w:p>
        </w:tc>
        <w:tc>
          <w:tcPr>
            <w:tcW w:w="1426" w:type="dxa"/>
            <w:vAlign w:val="center"/>
          </w:tcPr>
          <w:p w14:paraId="714C1F26">
            <w:pPr>
              <w:ind w:firstLine="0" w:firstLineChars="0"/>
              <w:jc w:val="center"/>
              <w:rPr>
                <w:rFonts w:eastAsia="宋体"/>
                <w:sz w:val="24"/>
              </w:rPr>
            </w:pPr>
            <w:r>
              <w:rPr>
                <w:rFonts w:hint="eastAsia" w:eastAsia="宋体"/>
                <w:sz w:val="24"/>
              </w:rPr>
              <w:t>105.8</w:t>
            </w:r>
          </w:p>
        </w:tc>
        <w:tc>
          <w:tcPr>
            <w:tcW w:w="1417" w:type="dxa"/>
            <w:vAlign w:val="center"/>
          </w:tcPr>
          <w:p w14:paraId="24B4CAC2">
            <w:pPr>
              <w:ind w:firstLine="0" w:firstLineChars="0"/>
              <w:jc w:val="center"/>
              <w:rPr>
                <w:rFonts w:eastAsia="宋体"/>
                <w:sz w:val="24"/>
              </w:rPr>
            </w:pPr>
            <w:r>
              <w:rPr>
                <w:rFonts w:hint="eastAsia" w:eastAsia="宋体"/>
                <w:sz w:val="24"/>
              </w:rPr>
              <w:t>106.9</w:t>
            </w:r>
          </w:p>
        </w:tc>
        <w:tc>
          <w:tcPr>
            <w:tcW w:w="1134" w:type="dxa"/>
            <w:vAlign w:val="center"/>
          </w:tcPr>
          <w:p w14:paraId="7141D27F">
            <w:pPr>
              <w:ind w:firstLine="0" w:firstLineChars="0"/>
              <w:jc w:val="center"/>
              <w:rPr>
                <w:rFonts w:eastAsia="宋体"/>
                <w:color w:val="000000"/>
                <w:sz w:val="24"/>
              </w:rPr>
            </w:pPr>
            <w:r>
              <w:rPr>
                <w:color w:val="000000"/>
                <w:sz w:val="24"/>
              </w:rPr>
              <w:t>103.9</w:t>
            </w:r>
          </w:p>
        </w:tc>
        <w:tc>
          <w:tcPr>
            <w:tcW w:w="1058" w:type="dxa"/>
            <w:vAlign w:val="center"/>
          </w:tcPr>
          <w:p w14:paraId="6937A11B">
            <w:pPr>
              <w:ind w:firstLine="0" w:firstLineChars="0"/>
              <w:jc w:val="center"/>
              <w:rPr>
                <w:rFonts w:eastAsia="宋体"/>
                <w:color w:val="000000"/>
                <w:sz w:val="24"/>
              </w:rPr>
            </w:pPr>
            <w:r>
              <w:rPr>
                <w:color w:val="000000"/>
                <w:sz w:val="24"/>
              </w:rPr>
              <w:t>2.8</w:t>
            </w:r>
          </w:p>
        </w:tc>
      </w:tr>
      <w:tr w14:paraId="2EB27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551" w:type="dxa"/>
            <w:vAlign w:val="center"/>
          </w:tcPr>
          <w:p w14:paraId="2C84CE04">
            <w:pPr>
              <w:snapToGrid w:val="0"/>
              <w:ind w:firstLine="0" w:firstLineChars="0"/>
              <w:jc w:val="center"/>
              <w:rPr>
                <w:rFonts w:eastAsia="宋体"/>
                <w:sz w:val="24"/>
              </w:rPr>
            </w:pPr>
            <w:r>
              <w:rPr>
                <w:rFonts w:hint="eastAsia" w:eastAsia="宋体"/>
                <w:sz w:val="24"/>
              </w:rPr>
              <w:t>姜黄（CurⅡ）</w:t>
            </w:r>
          </w:p>
        </w:tc>
        <w:tc>
          <w:tcPr>
            <w:tcW w:w="1426" w:type="dxa"/>
            <w:vAlign w:val="center"/>
          </w:tcPr>
          <w:p w14:paraId="36239688">
            <w:pPr>
              <w:ind w:firstLine="0" w:firstLineChars="0"/>
              <w:jc w:val="center"/>
              <w:rPr>
                <w:rFonts w:eastAsia="宋体"/>
                <w:sz w:val="24"/>
              </w:rPr>
            </w:pPr>
            <w:r>
              <w:rPr>
                <w:rFonts w:hint="eastAsia" w:eastAsia="宋体"/>
                <w:sz w:val="24"/>
              </w:rPr>
              <w:t>103.0</w:t>
            </w:r>
          </w:p>
        </w:tc>
        <w:tc>
          <w:tcPr>
            <w:tcW w:w="1126" w:type="dxa"/>
            <w:vAlign w:val="center"/>
          </w:tcPr>
          <w:p w14:paraId="2D0F611D">
            <w:pPr>
              <w:ind w:firstLine="0" w:firstLineChars="0"/>
              <w:jc w:val="center"/>
              <w:rPr>
                <w:rFonts w:eastAsia="宋体"/>
                <w:sz w:val="24"/>
              </w:rPr>
            </w:pPr>
            <w:r>
              <w:rPr>
                <w:rFonts w:hint="eastAsia" w:eastAsia="宋体"/>
                <w:sz w:val="24"/>
              </w:rPr>
              <w:t>102.6</w:t>
            </w:r>
          </w:p>
        </w:tc>
        <w:tc>
          <w:tcPr>
            <w:tcW w:w="1426" w:type="dxa"/>
            <w:vAlign w:val="center"/>
          </w:tcPr>
          <w:p w14:paraId="4E0B77A0">
            <w:pPr>
              <w:ind w:firstLine="0" w:firstLineChars="0"/>
              <w:jc w:val="center"/>
              <w:rPr>
                <w:rFonts w:eastAsia="宋体"/>
                <w:sz w:val="24"/>
              </w:rPr>
            </w:pPr>
            <w:r>
              <w:rPr>
                <w:rFonts w:hint="eastAsia" w:eastAsia="宋体"/>
                <w:sz w:val="24"/>
              </w:rPr>
              <w:t>104.7</w:t>
            </w:r>
          </w:p>
        </w:tc>
        <w:tc>
          <w:tcPr>
            <w:tcW w:w="1417" w:type="dxa"/>
            <w:vAlign w:val="center"/>
          </w:tcPr>
          <w:p w14:paraId="6AEF7B5D">
            <w:pPr>
              <w:ind w:firstLine="0" w:firstLineChars="0"/>
              <w:jc w:val="center"/>
              <w:rPr>
                <w:rFonts w:eastAsia="宋体"/>
                <w:sz w:val="24"/>
              </w:rPr>
            </w:pPr>
            <w:r>
              <w:rPr>
                <w:rFonts w:hint="eastAsia" w:eastAsia="宋体"/>
                <w:sz w:val="24"/>
              </w:rPr>
              <w:t>104.3</w:t>
            </w:r>
          </w:p>
        </w:tc>
        <w:tc>
          <w:tcPr>
            <w:tcW w:w="1134" w:type="dxa"/>
            <w:vAlign w:val="center"/>
          </w:tcPr>
          <w:p w14:paraId="0100905C">
            <w:pPr>
              <w:ind w:firstLine="0" w:firstLineChars="0"/>
              <w:jc w:val="center"/>
              <w:rPr>
                <w:rFonts w:eastAsia="宋体"/>
                <w:color w:val="000000"/>
                <w:sz w:val="24"/>
              </w:rPr>
            </w:pPr>
            <w:r>
              <w:rPr>
                <w:color w:val="000000"/>
                <w:sz w:val="24"/>
              </w:rPr>
              <w:t>103.7</w:t>
            </w:r>
          </w:p>
        </w:tc>
        <w:tc>
          <w:tcPr>
            <w:tcW w:w="1058" w:type="dxa"/>
            <w:vAlign w:val="center"/>
          </w:tcPr>
          <w:p w14:paraId="0C989CF8">
            <w:pPr>
              <w:ind w:firstLine="0" w:firstLineChars="0"/>
              <w:jc w:val="center"/>
              <w:rPr>
                <w:rFonts w:eastAsia="宋体"/>
                <w:color w:val="000000"/>
                <w:sz w:val="24"/>
              </w:rPr>
            </w:pPr>
            <w:r>
              <w:rPr>
                <w:color w:val="000000"/>
                <w:sz w:val="24"/>
              </w:rPr>
              <w:t>1.0</w:t>
            </w:r>
          </w:p>
        </w:tc>
      </w:tr>
      <w:tr w14:paraId="3A529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551" w:type="dxa"/>
            <w:vAlign w:val="center"/>
          </w:tcPr>
          <w:p w14:paraId="3C17B8A6">
            <w:pPr>
              <w:snapToGrid w:val="0"/>
              <w:ind w:firstLine="0" w:firstLineChars="0"/>
              <w:jc w:val="center"/>
              <w:rPr>
                <w:rFonts w:eastAsia="宋体"/>
                <w:sz w:val="24"/>
              </w:rPr>
            </w:pPr>
            <w:r>
              <w:rPr>
                <w:rFonts w:hint="eastAsia" w:eastAsia="宋体"/>
                <w:sz w:val="24"/>
              </w:rPr>
              <w:t>姜黄（CurⅢ）</w:t>
            </w:r>
          </w:p>
        </w:tc>
        <w:tc>
          <w:tcPr>
            <w:tcW w:w="1426" w:type="dxa"/>
            <w:vAlign w:val="center"/>
          </w:tcPr>
          <w:p w14:paraId="1DADC0A5">
            <w:pPr>
              <w:ind w:firstLine="0" w:firstLineChars="0"/>
              <w:jc w:val="center"/>
              <w:rPr>
                <w:rFonts w:eastAsia="宋体"/>
                <w:sz w:val="24"/>
              </w:rPr>
            </w:pPr>
            <w:r>
              <w:rPr>
                <w:rFonts w:hint="eastAsia" w:eastAsia="宋体"/>
                <w:sz w:val="24"/>
              </w:rPr>
              <w:t>102.6</w:t>
            </w:r>
          </w:p>
        </w:tc>
        <w:tc>
          <w:tcPr>
            <w:tcW w:w="1126" w:type="dxa"/>
            <w:vAlign w:val="center"/>
          </w:tcPr>
          <w:p w14:paraId="2D0C7EE0">
            <w:pPr>
              <w:ind w:firstLine="0" w:firstLineChars="0"/>
              <w:jc w:val="center"/>
              <w:rPr>
                <w:rFonts w:eastAsia="宋体"/>
                <w:sz w:val="24"/>
              </w:rPr>
            </w:pPr>
            <w:r>
              <w:rPr>
                <w:rFonts w:hint="eastAsia" w:eastAsia="宋体"/>
                <w:sz w:val="24"/>
              </w:rPr>
              <w:t>101.2</w:t>
            </w:r>
          </w:p>
        </w:tc>
        <w:tc>
          <w:tcPr>
            <w:tcW w:w="1426" w:type="dxa"/>
            <w:vAlign w:val="center"/>
          </w:tcPr>
          <w:p w14:paraId="4A276E33">
            <w:pPr>
              <w:ind w:firstLine="0" w:firstLineChars="0"/>
              <w:jc w:val="center"/>
              <w:rPr>
                <w:rFonts w:eastAsia="宋体"/>
                <w:sz w:val="24"/>
              </w:rPr>
            </w:pPr>
            <w:r>
              <w:rPr>
                <w:rFonts w:hint="eastAsia" w:eastAsia="宋体"/>
                <w:sz w:val="24"/>
              </w:rPr>
              <w:t>105.6</w:t>
            </w:r>
          </w:p>
        </w:tc>
        <w:tc>
          <w:tcPr>
            <w:tcW w:w="1417" w:type="dxa"/>
            <w:vAlign w:val="center"/>
          </w:tcPr>
          <w:p w14:paraId="026C4EE1">
            <w:pPr>
              <w:ind w:firstLine="0" w:firstLineChars="0"/>
              <w:jc w:val="center"/>
              <w:rPr>
                <w:rFonts w:eastAsia="宋体"/>
                <w:sz w:val="24"/>
              </w:rPr>
            </w:pPr>
            <w:r>
              <w:rPr>
                <w:rFonts w:hint="eastAsia" w:eastAsia="宋体"/>
                <w:sz w:val="24"/>
              </w:rPr>
              <w:t>105.2</w:t>
            </w:r>
          </w:p>
        </w:tc>
        <w:tc>
          <w:tcPr>
            <w:tcW w:w="1134" w:type="dxa"/>
            <w:vAlign w:val="center"/>
          </w:tcPr>
          <w:p w14:paraId="67851297">
            <w:pPr>
              <w:ind w:firstLine="0" w:firstLineChars="0"/>
              <w:jc w:val="center"/>
              <w:rPr>
                <w:rFonts w:eastAsia="宋体"/>
                <w:color w:val="000000"/>
                <w:sz w:val="24"/>
              </w:rPr>
            </w:pPr>
            <w:r>
              <w:rPr>
                <w:color w:val="000000"/>
                <w:sz w:val="24"/>
              </w:rPr>
              <w:t>103.7</w:t>
            </w:r>
          </w:p>
        </w:tc>
        <w:tc>
          <w:tcPr>
            <w:tcW w:w="1058" w:type="dxa"/>
            <w:vAlign w:val="center"/>
          </w:tcPr>
          <w:p w14:paraId="4C92B485">
            <w:pPr>
              <w:ind w:firstLine="0" w:firstLineChars="0"/>
              <w:jc w:val="center"/>
              <w:rPr>
                <w:rFonts w:eastAsia="宋体"/>
                <w:color w:val="000000"/>
                <w:sz w:val="24"/>
              </w:rPr>
            </w:pPr>
            <w:r>
              <w:rPr>
                <w:color w:val="000000"/>
                <w:sz w:val="24"/>
              </w:rPr>
              <w:t>2.0</w:t>
            </w:r>
          </w:p>
        </w:tc>
      </w:tr>
      <w:tr w14:paraId="273D2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551" w:type="dxa"/>
            <w:vAlign w:val="center"/>
          </w:tcPr>
          <w:p w14:paraId="6974DC06">
            <w:pPr>
              <w:snapToGrid w:val="0"/>
              <w:ind w:firstLine="0" w:firstLineChars="0"/>
              <w:jc w:val="center"/>
              <w:rPr>
                <w:rFonts w:eastAsia="宋体"/>
                <w:sz w:val="24"/>
              </w:rPr>
            </w:pPr>
            <w:r>
              <w:rPr>
                <w:rFonts w:hint="eastAsia" w:eastAsia="宋体"/>
                <w:sz w:val="24"/>
              </w:rPr>
              <w:t>姜黄制品（CurⅠ）</w:t>
            </w:r>
          </w:p>
        </w:tc>
        <w:tc>
          <w:tcPr>
            <w:tcW w:w="1426" w:type="dxa"/>
            <w:vAlign w:val="center"/>
          </w:tcPr>
          <w:p w14:paraId="631A2F8E">
            <w:pPr>
              <w:ind w:firstLine="0" w:firstLineChars="0"/>
              <w:jc w:val="center"/>
              <w:rPr>
                <w:rFonts w:eastAsia="宋体"/>
                <w:sz w:val="24"/>
              </w:rPr>
            </w:pPr>
            <w:r>
              <w:rPr>
                <w:rFonts w:hint="eastAsia" w:eastAsia="宋体"/>
                <w:sz w:val="24"/>
              </w:rPr>
              <w:t>101.8</w:t>
            </w:r>
          </w:p>
        </w:tc>
        <w:tc>
          <w:tcPr>
            <w:tcW w:w="1126" w:type="dxa"/>
            <w:vAlign w:val="center"/>
          </w:tcPr>
          <w:p w14:paraId="6A049AA8">
            <w:pPr>
              <w:ind w:firstLine="0" w:firstLineChars="0"/>
              <w:jc w:val="center"/>
              <w:rPr>
                <w:rFonts w:eastAsia="宋体"/>
                <w:sz w:val="24"/>
              </w:rPr>
            </w:pPr>
            <w:r>
              <w:rPr>
                <w:rFonts w:hint="eastAsia" w:eastAsia="宋体"/>
                <w:sz w:val="24"/>
              </w:rPr>
              <w:t>99.4</w:t>
            </w:r>
          </w:p>
        </w:tc>
        <w:tc>
          <w:tcPr>
            <w:tcW w:w="1426" w:type="dxa"/>
            <w:vAlign w:val="center"/>
          </w:tcPr>
          <w:p w14:paraId="71C7F4A3">
            <w:pPr>
              <w:ind w:firstLine="0" w:firstLineChars="0"/>
              <w:jc w:val="center"/>
              <w:rPr>
                <w:rFonts w:eastAsia="宋体"/>
                <w:sz w:val="24"/>
              </w:rPr>
            </w:pPr>
            <w:r>
              <w:rPr>
                <w:rFonts w:hint="eastAsia" w:eastAsia="宋体"/>
                <w:sz w:val="24"/>
              </w:rPr>
              <w:t>104.5</w:t>
            </w:r>
          </w:p>
        </w:tc>
        <w:tc>
          <w:tcPr>
            <w:tcW w:w="1417" w:type="dxa"/>
            <w:vAlign w:val="center"/>
          </w:tcPr>
          <w:p w14:paraId="31249E50">
            <w:pPr>
              <w:ind w:firstLine="0" w:firstLineChars="0"/>
              <w:jc w:val="center"/>
              <w:rPr>
                <w:rFonts w:eastAsia="宋体"/>
                <w:sz w:val="24"/>
              </w:rPr>
            </w:pPr>
            <w:r>
              <w:rPr>
                <w:rFonts w:hint="eastAsia" w:eastAsia="宋体"/>
                <w:sz w:val="24"/>
              </w:rPr>
              <w:t>103.8</w:t>
            </w:r>
          </w:p>
        </w:tc>
        <w:tc>
          <w:tcPr>
            <w:tcW w:w="1134" w:type="dxa"/>
            <w:vAlign w:val="center"/>
          </w:tcPr>
          <w:p w14:paraId="442033DD">
            <w:pPr>
              <w:ind w:firstLine="0" w:firstLineChars="0"/>
              <w:jc w:val="center"/>
              <w:rPr>
                <w:rFonts w:eastAsia="宋体"/>
                <w:color w:val="000000"/>
                <w:sz w:val="24"/>
              </w:rPr>
            </w:pPr>
            <w:r>
              <w:rPr>
                <w:color w:val="000000"/>
                <w:sz w:val="24"/>
              </w:rPr>
              <w:t>102.4</w:t>
            </w:r>
          </w:p>
        </w:tc>
        <w:tc>
          <w:tcPr>
            <w:tcW w:w="1058" w:type="dxa"/>
            <w:vAlign w:val="center"/>
          </w:tcPr>
          <w:p w14:paraId="2C3E4687">
            <w:pPr>
              <w:ind w:firstLine="0" w:firstLineChars="0"/>
              <w:jc w:val="center"/>
              <w:rPr>
                <w:rFonts w:eastAsia="宋体"/>
                <w:color w:val="000000"/>
                <w:sz w:val="24"/>
              </w:rPr>
            </w:pPr>
            <w:r>
              <w:rPr>
                <w:color w:val="000000"/>
                <w:sz w:val="24"/>
              </w:rPr>
              <w:t>2.2</w:t>
            </w:r>
          </w:p>
        </w:tc>
      </w:tr>
      <w:tr w14:paraId="482BE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551" w:type="dxa"/>
            <w:vAlign w:val="center"/>
          </w:tcPr>
          <w:p w14:paraId="7E0B67B0">
            <w:pPr>
              <w:snapToGrid w:val="0"/>
              <w:ind w:firstLine="0" w:firstLineChars="0"/>
              <w:jc w:val="center"/>
              <w:rPr>
                <w:rFonts w:eastAsia="宋体"/>
                <w:sz w:val="24"/>
              </w:rPr>
            </w:pPr>
            <w:r>
              <w:rPr>
                <w:rFonts w:hint="eastAsia" w:eastAsia="宋体"/>
                <w:sz w:val="24"/>
              </w:rPr>
              <w:t>姜黄制品（CurⅡ）</w:t>
            </w:r>
          </w:p>
        </w:tc>
        <w:tc>
          <w:tcPr>
            <w:tcW w:w="1426" w:type="dxa"/>
            <w:vAlign w:val="center"/>
          </w:tcPr>
          <w:p w14:paraId="01AD8B66">
            <w:pPr>
              <w:ind w:firstLine="0" w:firstLineChars="0"/>
              <w:jc w:val="center"/>
              <w:rPr>
                <w:rFonts w:eastAsia="宋体"/>
                <w:sz w:val="24"/>
              </w:rPr>
            </w:pPr>
            <w:r>
              <w:rPr>
                <w:rFonts w:hint="eastAsia" w:eastAsia="宋体"/>
                <w:sz w:val="24"/>
              </w:rPr>
              <w:t>102.9</w:t>
            </w:r>
          </w:p>
        </w:tc>
        <w:tc>
          <w:tcPr>
            <w:tcW w:w="1126" w:type="dxa"/>
            <w:vAlign w:val="center"/>
          </w:tcPr>
          <w:p w14:paraId="50D233ED">
            <w:pPr>
              <w:ind w:firstLine="0" w:firstLineChars="0"/>
              <w:jc w:val="center"/>
              <w:rPr>
                <w:rFonts w:eastAsia="宋体"/>
                <w:sz w:val="24"/>
              </w:rPr>
            </w:pPr>
            <w:r>
              <w:rPr>
                <w:rFonts w:hint="eastAsia" w:eastAsia="宋体"/>
                <w:sz w:val="24"/>
              </w:rPr>
              <w:t>101.9</w:t>
            </w:r>
          </w:p>
        </w:tc>
        <w:tc>
          <w:tcPr>
            <w:tcW w:w="1426" w:type="dxa"/>
            <w:vAlign w:val="center"/>
          </w:tcPr>
          <w:p w14:paraId="100E327C">
            <w:pPr>
              <w:ind w:firstLine="0" w:firstLineChars="0"/>
              <w:jc w:val="center"/>
              <w:rPr>
                <w:rFonts w:eastAsia="宋体"/>
                <w:sz w:val="24"/>
              </w:rPr>
            </w:pPr>
            <w:r>
              <w:rPr>
                <w:rFonts w:hint="eastAsia" w:eastAsia="宋体"/>
                <w:sz w:val="24"/>
              </w:rPr>
              <w:t>103.1</w:t>
            </w:r>
          </w:p>
        </w:tc>
        <w:tc>
          <w:tcPr>
            <w:tcW w:w="1417" w:type="dxa"/>
            <w:vAlign w:val="center"/>
          </w:tcPr>
          <w:p w14:paraId="0EC8B832">
            <w:pPr>
              <w:ind w:firstLine="0" w:firstLineChars="0"/>
              <w:jc w:val="center"/>
              <w:rPr>
                <w:rFonts w:eastAsia="宋体"/>
                <w:sz w:val="24"/>
              </w:rPr>
            </w:pPr>
            <w:r>
              <w:rPr>
                <w:rFonts w:hint="eastAsia" w:eastAsia="宋体"/>
                <w:sz w:val="24"/>
              </w:rPr>
              <w:t>102.2</w:t>
            </w:r>
          </w:p>
        </w:tc>
        <w:tc>
          <w:tcPr>
            <w:tcW w:w="1134" w:type="dxa"/>
            <w:vAlign w:val="center"/>
          </w:tcPr>
          <w:p w14:paraId="60FACD05">
            <w:pPr>
              <w:ind w:firstLine="0" w:firstLineChars="0"/>
              <w:jc w:val="center"/>
              <w:rPr>
                <w:rFonts w:eastAsia="宋体"/>
                <w:color w:val="000000"/>
                <w:sz w:val="24"/>
              </w:rPr>
            </w:pPr>
            <w:r>
              <w:rPr>
                <w:color w:val="000000"/>
                <w:sz w:val="24"/>
              </w:rPr>
              <w:t>102.5</w:t>
            </w:r>
          </w:p>
        </w:tc>
        <w:tc>
          <w:tcPr>
            <w:tcW w:w="1058" w:type="dxa"/>
            <w:vAlign w:val="center"/>
          </w:tcPr>
          <w:p w14:paraId="62F39CE1">
            <w:pPr>
              <w:ind w:firstLine="0" w:firstLineChars="0"/>
              <w:jc w:val="center"/>
              <w:rPr>
                <w:rFonts w:eastAsia="宋体"/>
                <w:color w:val="000000"/>
                <w:sz w:val="24"/>
              </w:rPr>
            </w:pPr>
            <w:r>
              <w:rPr>
                <w:color w:val="000000"/>
                <w:sz w:val="24"/>
              </w:rPr>
              <w:t>0.6</w:t>
            </w:r>
          </w:p>
        </w:tc>
      </w:tr>
      <w:tr w14:paraId="5B928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551" w:type="dxa"/>
            <w:vAlign w:val="center"/>
          </w:tcPr>
          <w:p w14:paraId="2C748558">
            <w:pPr>
              <w:snapToGrid w:val="0"/>
              <w:ind w:firstLine="0" w:firstLineChars="0"/>
              <w:jc w:val="center"/>
              <w:rPr>
                <w:rFonts w:eastAsia="宋体"/>
                <w:sz w:val="24"/>
              </w:rPr>
            </w:pPr>
            <w:r>
              <w:rPr>
                <w:rFonts w:hint="eastAsia" w:eastAsia="宋体"/>
                <w:sz w:val="24"/>
              </w:rPr>
              <w:t>姜黄制品（CurⅢ）</w:t>
            </w:r>
          </w:p>
        </w:tc>
        <w:tc>
          <w:tcPr>
            <w:tcW w:w="1426" w:type="dxa"/>
            <w:vAlign w:val="center"/>
          </w:tcPr>
          <w:p w14:paraId="304C57BE">
            <w:pPr>
              <w:ind w:firstLine="0" w:firstLineChars="0"/>
              <w:jc w:val="center"/>
              <w:rPr>
                <w:rFonts w:eastAsia="宋体"/>
                <w:sz w:val="24"/>
              </w:rPr>
            </w:pPr>
            <w:r>
              <w:rPr>
                <w:rFonts w:hint="eastAsia" w:eastAsia="宋体"/>
                <w:sz w:val="24"/>
              </w:rPr>
              <w:t>101.9</w:t>
            </w:r>
          </w:p>
        </w:tc>
        <w:tc>
          <w:tcPr>
            <w:tcW w:w="1126" w:type="dxa"/>
            <w:vAlign w:val="center"/>
          </w:tcPr>
          <w:p w14:paraId="7830249A">
            <w:pPr>
              <w:ind w:firstLine="0" w:firstLineChars="0"/>
              <w:jc w:val="center"/>
              <w:rPr>
                <w:rFonts w:eastAsia="宋体"/>
                <w:sz w:val="24"/>
              </w:rPr>
            </w:pPr>
            <w:r>
              <w:rPr>
                <w:rFonts w:hint="eastAsia" w:eastAsia="宋体"/>
                <w:sz w:val="24"/>
              </w:rPr>
              <w:t>101.9</w:t>
            </w:r>
          </w:p>
        </w:tc>
        <w:tc>
          <w:tcPr>
            <w:tcW w:w="1426" w:type="dxa"/>
            <w:vAlign w:val="center"/>
          </w:tcPr>
          <w:p w14:paraId="6B9C3ACC">
            <w:pPr>
              <w:ind w:firstLine="0" w:firstLineChars="0"/>
              <w:jc w:val="center"/>
              <w:rPr>
                <w:rFonts w:eastAsia="宋体"/>
                <w:sz w:val="24"/>
              </w:rPr>
            </w:pPr>
            <w:r>
              <w:rPr>
                <w:rFonts w:hint="eastAsia" w:eastAsia="宋体"/>
                <w:sz w:val="24"/>
              </w:rPr>
              <w:t>103.7</w:t>
            </w:r>
          </w:p>
        </w:tc>
        <w:tc>
          <w:tcPr>
            <w:tcW w:w="1417" w:type="dxa"/>
            <w:vAlign w:val="center"/>
          </w:tcPr>
          <w:p w14:paraId="5D41D23E">
            <w:pPr>
              <w:ind w:firstLine="0" w:firstLineChars="0"/>
              <w:jc w:val="center"/>
              <w:rPr>
                <w:rFonts w:eastAsia="宋体"/>
                <w:sz w:val="24"/>
              </w:rPr>
            </w:pPr>
            <w:r>
              <w:rPr>
                <w:rFonts w:hint="eastAsia" w:eastAsia="宋体"/>
                <w:sz w:val="24"/>
              </w:rPr>
              <w:t>102.6</w:t>
            </w:r>
          </w:p>
        </w:tc>
        <w:tc>
          <w:tcPr>
            <w:tcW w:w="1134" w:type="dxa"/>
            <w:vAlign w:val="center"/>
          </w:tcPr>
          <w:p w14:paraId="285EF71D">
            <w:pPr>
              <w:ind w:firstLine="0" w:firstLineChars="0"/>
              <w:jc w:val="center"/>
              <w:rPr>
                <w:rFonts w:eastAsia="宋体"/>
                <w:color w:val="000000"/>
                <w:sz w:val="24"/>
              </w:rPr>
            </w:pPr>
            <w:r>
              <w:rPr>
                <w:color w:val="000000"/>
                <w:sz w:val="24"/>
              </w:rPr>
              <w:t>102.5</w:t>
            </w:r>
          </w:p>
        </w:tc>
        <w:tc>
          <w:tcPr>
            <w:tcW w:w="1058" w:type="dxa"/>
            <w:vAlign w:val="center"/>
          </w:tcPr>
          <w:p w14:paraId="730CBA9B">
            <w:pPr>
              <w:ind w:firstLine="0" w:firstLineChars="0"/>
              <w:jc w:val="center"/>
              <w:rPr>
                <w:rFonts w:eastAsia="宋体"/>
                <w:color w:val="000000"/>
                <w:sz w:val="24"/>
              </w:rPr>
            </w:pPr>
            <w:r>
              <w:rPr>
                <w:color w:val="000000"/>
                <w:sz w:val="24"/>
              </w:rPr>
              <w:t>0.8</w:t>
            </w:r>
          </w:p>
        </w:tc>
      </w:tr>
    </w:tbl>
    <w:p w14:paraId="62F301A4">
      <w:pPr>
        <w:pStyle w:val="3"/>
        <w:ind w:left="0" w:firstLine="640" w:firstLineChars="200"/>
        <w:rPr>
          <w:rFonts w:ascii="仿宋_GB2312" w:hAnsi="宋体" w:eastAsia="仿宋_GB2312"/>
          <w:sz w:val="32"/>
          <w:szCs w:val="32"/>
        </w:rPr>
      </w:pPr>
      <w:r>
        <w:rPr>
          <w:rFonts w:hint="eastAsia" w:ascii="仿宋_GB2312" w:hAnsi="宋体" w:eastAsia="仿宋_GB2312"/>
          <w:sz w:val="32"/>
          <w:szCs w:val="32"/>
        </w:rPr>
        <w:t>6、样品测定</w:t>
      </w:r>
    </w:p>
    <w:p w14:paraId="71C3EE4B">
      <w:pPr>
        <w:pStyle w:val="3"/>
        <w:ind w:left="0" w:firstLine="640" w:firstLineChars="200"/>
      </w:pPr>
      <w:r>
        <w:rPr>
          <w:rFonts w:hint="eastAsia" w:ascii="仿宋_GB2312" w:hAnsi="宋体" w:eastAsia="仿宋_GB2312"/>
          <w:sz w:val="32"/>
          <w:szCs w:val="32"/>
        </w:rPr>
        <w:t>4家实验室分别对12批次姜黄及其制品进行了CurⅠ、CurⅡ、CurⅢ含量测定，结果</w:t>
      </w:r>
      <w:r>
        <w:rPr>
          <w:rFonts w:ascii="仿宋_GB2312" w:hAnsi="宋体" w:eastAsia="仿宋_GB2312"/>
          <w:sz w:val="32"/>
          <w:szCs w:val="32"/>
        </w:rPr>
        <w:t>如表</w:t>
      </w:r>
      <w:r>
        <w:rPr>
          <w:rFonts w:hint="eastAsia" w:ascii="仿宋_GB2312" w:hAnsi="宋体" w:eastAsia="仿宋_GB2312"/>
          <w:sz w:val="32"/>
          <w:szCs w:val="32"/>
        </w:rPr>
        <w:t>8～10所示</w:t>
      </w:r>
      <w:r>
        <w:rPr>
          <w:rFonts w:ascii="仿宋_GB2312" w:hAnsi="宋体" w:eastAsia="仿宋_GB2312"/>
          <w:sz w:val="32"/>
          <w:szCs w:val="32"/>
        </w:rPr>
        <w:t>：</w:t>
      </w:r>
      <w:r>
        <w:rPr>
          <w:rFonts w:hint="eastAsia" w:ascii="仿宋_GB2312" w:hAnsi="宋体" w:eastAsia="仿宋_GB2312"/>
          <w:sz w:val="32"/>
          <w:szCs w:val="32"/>
        </w:rPr>
        <w:t>所得结果的RSD值介于0.6%至4.9%之间，显示本方法在实际样品测定中具有良好的重现性与适用性。</w:t>
      </w:r>
    </w:p>
    <w:p w14:paraId="4EA8B3F7">
      <w:pPr>
        <w:ind w:firstLine="640"/>
        <w:jc w:val="center"/>
        <w:rPr>
          <w:rFonts w:eastAsia="黑体"/>
          <w:szCs w:val="32"/>
        </w:rPr>
      </w:pPr>
      <w:r>
        <w:rPr>
          <w:rFonts w:hint="eastAsia" w:eastAsia="黑体"/>
          <w:szCs w:val="32"/>
        </w:rPr>
        <w:t>表8：姜黄及其制品中CurⅠ含量的测定结果（单位</w:t>
      </w:r>
      <w:r>
        <w:rPr>
          <w:rFonts w:eastAsia="黑体"/>
          <w:szCs w:val="32"/>
        </w:rPr>
        <w:t>：</w:t>
      </w:r>
      <w:r>
        <w:rPr>
          <w:rFonts w:hint="eastAsia" w:eastAsia="黑体"/>
          <w:szCs w:val="32"/>
        </w:rPr>
        <w:t>%）</w:t>
      </w:r>
    </w:p>
    <w:tbl>
      <w:tblPr>
        <w:tblStyle w:val="9"/>
        <w:tblW w:w="8699" w:type="dxa"/>
        <w:jc w:val="center"/>
        <w:tblLayout w:type="fixed"/>
        <w:tblCellMar>
          <w:top w:w="0" w:type="dxa"/>
          <w:left w:w="108" w:type="dxa"/>
          <w:bottom w:w="0" w:type="dxa"/>
          <w:right w:w="108" w:type="dxa"/>
        </w:tblCellMar>
      </w:tblPr>
      <w:tblGrid>
        <w:gridCol w:w="722"/>
        <w:gridCol w:w="1379"/>
        <w:gridCol w:w="1507"/>
        <w:gridCol w:w="839"/>
        <w:gridCol w:w="850"/>
        <w:gridCol w:w="811"/>
        <w:gridCol w:w="851"/>
        <w:gridCol w:w="890"/>
        <w:gridCol w:w="850"/>
      </w:tblGrid>
      <w:tr w14:paraId="2D6D7A57">
        <w:tblPrEx>
          <w:tblCellMar>
            <w:top w:w="0" w:type="dxa"/>
            <w:left w:w="108" w:type="dxa"/>
            <w:bottom w:w="0" w:type="dxa"/>
            <w:right w:w="108" w:type="dxa"/>
          </w:tblCellMar>
        </w:tblPrEx>
        <w:trPr>
          <w:trHeight w:val="567" w:hRule="atLeast"/>
          <w:jc w:val="center"/>
        </w:trPr>
        <w:tc>
          <w:tcPr>
            <w:tcW w:w="722" w:type="dxa"/>
            <w:tcBorders>
              <w:top w:val="single" w:color="auto" w:sz="4" w:space="0"/>
              <w:left w:val="single" w:color="auto" w:sz="4" w:space="0"/>
              <w:bottom w:val="single" w:color="auto" w:sz="4" w:space="0"/>
              <w:right w:val="single" w:color="auto" w:sz="4" w:space="0"/>
            </w:tcBorders>
            <w:shd w:val="clear" w:color="auto" w:fill="auto"/>
            <w:vAlign w:val="center"/>
          </w:tcPr>
          <w:p w14:paraId="4E98BBFA">
            <w:pPr>
              <w:widowControl/>
              <w:ind w:firstLine="0" w:firstLineChars="0"/>
              <w:rPr>
                <w:rFonts w:ascii="宋体" w:hAnsi="宋体" w:eastAsia="宋体" w:cs="宋体"/>
                <w:b/>
                <w:color w:val="000000"/>
                <w:kern w:val="0"/>
                <w:sz w:val="24"/>
              </w:rPr>
            </w:pPr>
            <w:r>
              <w:rPr>
                <w:rFonts w:hint="eastAsia" w:ascii="宋体" w:hAnsi="宋体" w:eastAsia="宋体" w:cs="宋体"/>
                <w:b/>
                <w:color w:val="000000"/>
                <w:kern w:val="0"/>
                <w:sz w:val="24"/>
              </w:rPr>
              <w:t>序号</w:t>
            </w:r>
          </w:p>
        </w:tc>
        <w:tc>
          <w:tcPr>
            <w:tcW w:w="1379" w:type="dxa"/>
            <w:tcBorders>
              <w:top w:val="single" w:color="auto" w:sz="4" w:space="0"/>
              <w:left w:val="nil"/>
              <w:bottom w:val="single" w:color="auto" w:sz="4" w:space="0"/>
              <w:right w:val="single" w:color="auto" w:sz="4" w:space="0"/>
            </w:tcBorders>
            <w:shd w:val="clear" w:color="auto" w:fill="auto"/>
            <w:vAlign w:val="center"/>
          </w:tcPr>
          <w:p w14:paraId="48FD3FC1">
            <w:pPr>
              <w:widowControl/>
              <w:ind w:firstLine="0" w:firstLineChars="0"/>
              <w:jc w:val="center"/>
              <w:rPr>
                <w:rFonts w:ascii="宋体" w:hAnsi="宋体" w:eastAsia="宋体" w:cs="宋体"/>
                <w:b/>
                <w:color w:val="000000"/>
                <w:kern w:val="0"/>
                <w:sz w:val="24"/>
              </w:rPr>
            </w:pPr>
            <w:r>
              <w:rPr>
                <w:rFonts w:hint="eastAsia" w:ascii="宋体" w:hAnsi="宋体" w:eastAsia="宋体" w:cs="宋体"/>
                <w:b/>
                <w:color w:val="000000"/>
                <w:kern w:val="0"/>
                <w:sz w:val="24"/>
              </w:rPr>
              <w:t>名称</w:t>
            </w:r>
          </w:p>
        </w:tc>
        <w:tc>
          <w:tcPr>
            <w:tcW w:w="1507" w:type="dxa"/>
            <w:tcBorders>
              <w:top w:val="single" w:color="auto" w:sz="4" w:space="0"/>
              <w:left w:val="nil"/>
              <w:bottom w:val="single" w:color="auto" w:sz="4" w:space="0"/>
              <w:right w:val="single" w:color="auto" w:sz="4" w:space="0"/>
            </w:tcBorders>
            <w:shd w:val="clear" w:color="auto" w:fill="auto"/>
            <w:vAlign w:val="center"/>
          </w:tcPr>
          <w:p w14:paraId="5B9E8593">
            <w:pPr>
              <w:widowControl/>
              <w:ind w:firstLine="0" w:firstLineChars="0"/>
              <w:jc w:val="center"/>
              <w:rPr>
                <w:rFonts w:ascii="宋体" w:hAnsi="宋体" w:eastAsia="宋体" w:cs="宋体"/>
                <w:b/>
                <w:color w:val="000000"/>
                <w:kern w:val="0"/>
                <w:sz w:val="24"/>
              </w:rPr>
            </w:pPr>
            <w:r>
              <w:rPr>
                <w:rFonts w:hint="eastAsia" w:ascii="宋体" w:hAnsi="宋体" w:eastAsia="宋体" w:cs="宋体"/>
                <w:b/>
                <w:color w:val="000000"/>
                <w:kern w:val="0"/>
                <w:sz w:val="24"/>
              </w:rPr>
              <w:t>批号</w:t>
            </w:r>
          </w:p>
        </w:tc>
        <w:tc>
          <w:tcPr>
            <w:tcW w:w="839" w:type="dxa"/>
            <w:tcBorders>
              <w:top w:val="single" w:color="auto" w:sz="4" w:space="0"/>
              <w:left w:val="nil"/>
              <w:bottom w:val="single" w:color="auto" w:sz="4" w:space="0"/>
              <w:right w:val="single" w:color="auto" w:sz="4" w:space="0"/>
            </w:tcBorders>
            <w:shd w:val="clear" w:color="auto" w:fill="auto"/>
            <w:vAlign w:val="center"/>
          </w:tcPr>
          <w:p w14:paraId="44C57043">
            <w:pPr>
              <w:widowControl/>
              <w:ind w:firstLine="0" w:firstLineChars="0"/>
              <w:jc w:val="center"/>
              <w:rPr>
                <w:rFonts w:ascii="宋体" w:hAnsi="宋体" w:eastAsia="宋体" w:cs="宋体"/>
                <w:b/>
                <w:kern w:val="0"/>
                <w:sz w:val="24"/>
              </w:rPr>
            </w:pPr>
            <w:r>
              <w:rPr>
                <w:rFonts w:hint="eastAsia" w:ascii="宋体" w:hAnsi="宋体" w:eastAsia="宋体" w:cs="宋体"/>
                <w:b/>
                <w:kern w:val="0"/>
                <w:sz w:val="24"/>
              </w:rPr>
              <w:t>玉林中心</w:t>
            </w:r>
          </w:p>
        </w:tc>
        <w:tc>
          <w:tcPr>
            <w:tcW w:w="850" w:type="dxa"/>
            <w:tcBorders>
              <w:top w:val="single" w:color="auto" w:sz="4" w:space="0"/>
              <w:left w:val="nil"/>
              <w:bottom w:val="single" w:color="auto" w:sz="4" w:space="0"/>
              <w:right w:val="single" w:color="auto" w:sz="4" w:space="0"/>
            </w:tcBorders>
            <w:shd w:val="clear" w:color="auto" w:fill="auto"/>
            <w:vAlign w:val="center"/>
          </w:tcPr>
          <w:p w14:paraId="58BC3619">
            <w:pPr>
              <w:widowControl/>
              <w:ind w:firstLine="0" w:firstLineChars="0"/>
              <w:jc w:val="center"/>
              <w:rPr>
                <w:rFonts w:ascii="宋体" w:hAnsi="宋体" w:eastAsia="宋体" w:cs="宋体"/>
                <w:b/>
                <w:kern w:val="0"/>
                <w:sz w:val="24"/>
              </w:rPr>
            </w:pPr>
            <w:r>
              <w:rPr>
                <w:rFonts w:hint="eastAsia" w:ascii="宋体" w:hAnsi="宋体" w:eastAsia="宋体" w:cs="宋体"/>
                <w:b/>
                <w:kern w:val="0"/>
                <w:sz w:val="24"/>
              </w:rPr>
              <w:t>梧州所</w:t>
            </w:r>
          </w:p>
        </w:tc>
        <w:tc>
          <w:tcPr>
            <w:tcW w:w="811" w:type="dxa"/>
            <w:tcBorders>
              <w:top w:val="single" w:color="auto" w:sz="4" w:space="0"/>
              <w:left w:val="nil"/>
              <w:bottom w:val="single" w:color="auto" w:sz="4" w:space="0"/>
              <w:right w:val="single" w:color="auto" w:sz="4" w:space="0"/>
            </w:tcBorders>
            <w:shd w:val="clear" w:color="auto" w:fill="auto"/>
            <w:vAlign w:val="center"/>
          </w:tcPr>
          <w:p w14:paraId="0BDCA526">
            <w:pPr>
              <w:widowControl/>
              <w:ind w:firstLine="0" w:firstLineChars="0"/>
              <w:jc w:val="center"/>
              <w:rPr>
                <w:rFonts w:ascii="宋体" w:hAnsi="宋体" w:eastAsia="宋体" w:cs="宋体"/>
                <w:b/>
                <w:kern w:val="0"/>
                <w:sz w:val="24"/>
              </w:rPr>
            </w:pPr>
            <w:r>
              <w:rPr>
                <w:rFonts w:hint="eastAsia" w:ascii="宋体" w:hAnsi="宋体" w:eastAsia="宋体" w:cs="宋体"/>
                <w:b/>
                <w:kern w:val="0"/>
                <w:sz w:val="24"/>
              </w:rPr>
              <w:t>质检院</w:t>
            </w:r>
          </w:p>
        </w:tc>
        <w:tc>
          <w:tcPr>
            <w:tcW w:w="851" w:type="dxa"/>
            <w:tcBorders>
              <w:top w:val="single" w:color="auto" w:sz="4" w:space="0"/>
              <w:left w:val="nil"/>
              <w:bottom w:val="single" w:color="auto" w:sz="4" w:space="0"/>
              <w:right w:val="single" w:color="auto" w:sz="4" w:space="0"/>
            </w:tcBorders>
            <w:shd w:val="clear" w:color="auto" w:fill="auto"/>
            <w:vAlign w:val="center"/>
          </w:tcPr>
          <w:p w14:paraId="3F2E7E50">
            <w:pPr>
              <w:widowControl/>
              <w:ind w:firstLine="0" w:firstLineChars="0"/>
              <w:jc w:val="center"/>
              <w:rPr>
                <w:rFonts w:ascii="宋体" w:hAnsi="宋体" w:eastAsia="宋体" w:cs="宋体"/>
                <w:b/>
                <w:bCs/>
                <w:kern w:val="0"/>
                <w:sz w:val="24"/>
              </w:rPr>
            </w:pPr>
            <w:r>
              <w:rPr>
                <w:rFonts w:hint="eastAsia" w:ascii="宋体" w:hAnsi="宋体" w:eastAsia="宋体" w:cs="宋体"/>
                <w:b/>
                <w:bCs/>
                <w:kern w:val="0"/>
                <w:sz w:val="24"/>
              </w:rPr>
              <w:t>广电计量</w:t>
            </w:r>
          </w:p>
        </w:tc>
        <w:tc>
          <w:tcPr>
            <w:tcW w:w="890" w:type="dxa"/>
            <w:tcBorders>
              <w:top w:val="single" w:color="auto" w:sz="4" w:space="0"/>
              <w:left w:val="nil"/>
              <w:bottom w:val="single" w:color="auto" w:sz="4" w:space="0"/>
              <w:right w:val="single" w:color="auto" w:sz="4" w:space="0"/>
            </w:tcBorders>
            <w:shd w:val="clear" w:color="auto" w:fill="auto"/>
            <w:vAlign w:val="center"/>
          </w:tcPr>
          <w:p w14:paraId="6C79F69B">
            <w:pPr>
              <w:widowControl/>
              <w:ind w:firstLine="0" w:firstLineChars="0"/>
              <w:jc w:val="center"/>
              <w:rPr>
                <w:rFonts w:ascii="宋体" w:hAnsi="宋体" w:eastAsia="宋体" w:cs="宋体"/>
                <w:b/>
                <w:bCs/>
                <w:kern w:val="0"/>
                <w:sz w:val="24"/>
              </w:rPr>
            </w:pPr>
            <w:r>
              <w:rPr>
                <w:rFonts w:hint="eastAsia" w:ascii="宋体" w:hAnsi="宋体" w:eastAsia="宋体" w:cs="宋体"/>
                <w:b/>
                <w:bCs/>
                <w:kern w:val="0"/>
                <w:sz w:val="24"/>
              </w:rPr>
              <w:t>平均值</w:t>
            </w:r>
          </w:p>
        </w:tc>
        <w:tc>
          <w:tcPr>
            <w:tcW w:w="850" w:type="dxa"/>
            <w:tcBorders>
              <w:top w:val="single" w:color="auto" w:sz="4" w:space="0"/>
              <w:left w:val="nil"/>
              <w:bottom w:val="single" w:color="auto" w:sz="4" w:space="0"/>
              <w:right w:val="single" w:color="auto" w:sz="4" w:space="0"/>
            </w:tcBorders>
            <w:shd w:val="clear" w:color="auto" w:fill="auto"/>
            <w:vAlign w:val="center"/>
          </w:tcPr>
          <w:p w14:paraId="2DCC787F">
            <w:pPr>
              <w:widowControl/>
              <w:ind w:firstLine="0" w:firstLineChars="0"/>
              <w:jc w:val="center"/>
              <w:rPr>
                <w:rFonts w:eastAsia="宋体"/>
                <w:b/>
                <w:bCs/>
                <w:kern w:val="0"/>
                <w:sz w:val="24"/>
              </w:rPr>
            </w:pPr>
            <w:r>
              <w:rPr>
                <w:rFonts w:eastAsia="宋体"/>
                <w:b/>
                <w:bCs/>
                <w:kern w:val="0"/>
                <w:sz w:val="24"/>
              </w:rPr>
              <w:t>RSD</w:t>
            </w:r>
          </w:p>
        </w:tc>
      </w:tr>
      <w:tr w14:paraId="1A96AED3">
        <w:tblPrEx>
          <w:tblCellMar>
            <w:top w:w="0" w:type="dxa"/>
            <w:left w:w="108" w:type="dxa"/>
            <w:bottom w:w="0" w:type="dxa"/>
            <w:right w:w="108" w:type="dxa"/>
          </w:tblCellMar>
        </w:tblPrEx>
        <w:trPr>
          <w:trHeight w:val="567" w:hRule="atLeast"/>
          <w:jc w:val="center"/>
        </w:trPr>
        <w:tc>
          <w:tcPr>
            <w:tcW w:w="722" w:type="dxa"/>
            <w:tcBorders>
              <w:top w:val="nil"/>
              <w:left w:val="single" w:color="auto" w:sz="4" w:space="0"/>
              <w:bottom w:val="single" w:color="auto" w:sz="4" w:space="0"/>
              <w:right w:val="single" w:color="auto" w:sz="4" w:space="0"/>
            </w:tcBorders>
            <w:shd w:val="clear" w:color="auto" w:fill="auto"/>
            <w:vAlign w:val="center"/>
          </w:tcPr>
          <w:p w14:paraId="3B6045AE">
            <w:pPr>
              <w:widowControl/>
              <w:ind w:firstLine="0" w:firstLineChars="0"/>
              <w:jc w:val="center"/>
              <w:rPr>
                <w:rFonts w:eastAsia="宋体"/>
                <w:color w:val="000000"/>
                <w:kern w:val="0"/>
                <w:sz w:val="24"/>
              </w:rPr>
            </w:pPr>
            <w:r>
              <w:rPr>
                <w:rFonts w:eastAsia="宋体"/>
                <w:color w:val="000000"/>
                <w:kern w:val="0"/>
                <w:sz w:val="24"/>
              </w:rPr>
              <w:t>1</w:t>
            </w:r>
          </w:p>
        </w:tc>
        <w:tc>
          <w:tcPr>
            <w:tcW w:w="1379" w:type="dxa"/>
            <w:tcBorders>
              <w:top w:val="nil"/>
              <w:left w:val="nil"/>
              <w:bottom w:val="single" w:color="auto" w:sz="4" w:space="0"/>
              <w:right w:val="single" w:color="auto" w:sz="4" w:space="0"/>
            </w:tcBorders>
            <w:shd w:val="clear" w:color="auto" w:fill="auto"/>
            <w:vAlign w:val="center"/>
          </w:tcPr>
          <w:p w14:paraId="4AB6A435">
            <w:pPr>
              <w:widowControl/>
              <w:ind w:firstLine="0" w:firstLineChars="0"/>
              <w:jc w:val="center"/>
              <w:rPr>
                <w:rFonts w:ascii="宋体" w:hAnsi="宋体" w:eastAsia="宋体" w:cs="宋体"/>
                <w:color w:val="000000"/>
                <w:kern w:val="0"/>
                <w:sz w:val="24"/>
              </w:rPr>
            </w:pPr>
            <w:r>
              <w:rPr>
                <w:rFonts w:hint="eastAsia" w:ascii="宋体" w:hAnsi="宋体" w:eastAsia="宋体" w:cs="宋体"/>
                <w:color w:val="000000"/>
                <w:kern w:val="0"/>
                <w:sz w:val="24"/>
              </w:rPr>
              <w:t>姜黄</w:t>
            </w:r>
          </w:p>
        </w:tc>
        <w:tc>
          <w:tcPr>
            <w:tcW w:w="1507" w:type="dxa"/>
            <w:tcBorders>
              <w:top w:val="nil"/>
              <w:left w:val="nil"/>
              <w:bottom w:val="single" w:color="auto" w:sz="4" w:space="0"/>
              <w:right w:val="single" w:color="auto" w:sz="4" w:space="0"/>
            </w:tcBorders>
            <w:shd w:val="clear" w:color="auto" w:fill="auto"/>
            <w:vAlign w:val="center"/>
          </w:tcPr>
          <w:p w14:paraId="7D30001E">
            <w:pPr>
              <w:widowControl/>
              <w:ind w:firstLine="0" w:firstLineChars="0"/>
              <w:jc w:val="center"/>
              <w:rPr>
                <w:rFonts w:eastAsia="宋体"/>
                <w:color w:val="000000"/>
                <w:kern w:val="0"/>
                <w:sz w:val="24"/>
              </w:rPr>
            </w:pPr>
            <w:r>
              <w:rPr>
                <w:rFonts w:eastAsia="宋体"/>
                <w:color w:val="000000"/>
                <w:kern w:val="0"/>
                <w:sz w:val="24"/>
              </w:rPr>
              <w:t>2024072602</w:t>
            </w:r>
          </w:p>
        </w:tc>
        <w:tc>
          <w:tcPr>
            <w:tcW w:w="839" w:type="dxa"/>
            <w:tcBorders>
              <w:top w:val="nil"/>
              <w:left w:val="nil"/>
              <w:bottom w:val="single" w:color="auto" w:sz="4" w:space="0"/>
              <w:right w:val="single" w:color="auto" w:sz="4" w:space="0"/>
            </w:tcBorders>
            <w:shd w:val="clear" w:color="auto" w:fill="auto"/>
            <w:vAlign w:val="center"/>
          </w:tcPr>
          <w:p w14:paraId="30397181">
            <w:pPr>
              <w:widowControl/>
              <w:ind w:firstLine="0" w:firstLineChars="0"/>
              <w:jc w:val="center"/>
              <w:rPr>
                <w:rFonts w:eastAsia="宋体"/>
                <w:color w:val="000000"/>
                <w:kern w:val="0"/>
                <w:sz w:val="24"/>
              </w:rPr>
            </w:pPr>
            <w:r>
              <w:rPr>
                <w:rFonts w:eastAsia="宋体"/>
                <w:color w:val="000000"/>
                <w:kern w:val="0"/>
                <w:sz w:val="24"/>
              </w:rPr>
              <w:t>1.56</w:t>
            </w:r>
          </w:p>
        </w:tc>
        <w:tc>
          <w:tcPr>
            <w:tcW w:w="850" w:type="dxa"/>
            <w:tcBorders>
              <w:top w:val="nil"/>
              <w:left w:val="nil"/>
              <w:bottom w:val="single" w:color="auto" w:sz="4" w:space="0"/>
              <w:right w:val="single" w:color="auto" w:sz="4" w:space="0"/>
            </w:tcBorders>
            <w:shd w:val="clear" w:color="auto" w:fill="auto"/>
            <w:vAlign w:val="center"/>
          </w:tcPr>
          <w:p w14:paraId="4259938C">
            <w:pPr>
              <w:widowControl/>
              <w:ind w:firstLine="0" w:firstLineChars="0"/>
              <w:jc w:val="center"/>
              <w:rPr>
                <w:rFonts w:eastAsia="宋体"/>
                <w:color w:val="000000"/>
                <w:kern w:val="0"/>
                <w:sz w:val="24"/>
              </w:rPr>
            </w:pPr>
            <w:r>
              <w:rPr>
                <w:rFonts w:eastAsia="宋体"/>
                <w:color w:val="000000"/>
                <w:kern w:val="0"/>
                <w:sz w:val="24"/>
              </w:rPr>
              <w:t>1.58</w:t>
            </w:r>
          </w:p>
        </w:tc>
        <w:tc>
          <w:tcPr>
            <w:tcW w:w="811" w:type="dxa"/>
            <w:tcBorders>
              <w:top w:val="nil"/>
              <w:left w:val="nil"/>
              <w:bottom w:val="single" w:color="auto" w:sz="4" w:space="0"/>
              <w:right w:val="single" w:color="auto" w:sz="4" w:space="0"/>
            </w:tcBorders>
            <w:shd w:val="clear" w:color="auto" w:fill="auto"/>
            <w:vAlign w:val="center"/>
          </w:tcPr>
          <w:p w14:paraId="3FC5D369">
            <w:pPr>
              <w:widowControl/>
              <w:ind w:firstLine="0" w:firstLineChars="0"/>
              <w:jc w:val="center"/>
              <w:rPr>
                <w:rFonts w:eastAsia="宋体"/>
                <w:color w:val="000000"/>
                <w:kern w:val="0"/>
                <w:sz w:val="24"/>
              </w:rPr>
            </w:pPr>
            <w:r>
              <w:rPr>
                <w:rFonts w:eastAsia="宋体"/>
                <w:color w:val="000000"/>
                <w:kern w:val="0"/>
                <w:sz w:val="24"/>
              </w:rPr>
              <w:t>1.56</w:t>
            </w:r>
          </w:p>
        </w:tc>
        <w:tc>
          <w:tcPr>
            <w:tcW w:w="851" w:type="dxa"/>
            <w:tcBorders>
              <w:top w:val="nil"/>
              <w:left w:val="nil"/>
              <w:bottom w:val="single" w:color="auto" w:sz="4" w:space="0"/>
              <w:right w:val="single" w:color="auto" w:sz="4" w:space="0"/>
            </w:tcBorders>
            <w:shd w:val="clear" w:color="auto" w:fill="auto"/>
            <w:vAlign w:val="center"/>
          </w:tcPr>
          <w:p w14:paraId="2F18DBBE">
            <w:pPr>
              <w:widowControl/>
              <w:ind w:firstLine="0" w:firstLineChars="0"/>
              <w:jc w:val="center"/>
              <w:rPr>
                <w:rFonts w:eastAsia="宋体"/>
                <w:color w:val="000000"/>
                <w:kern w:val="0"/>
                <w:sz w:val="24"/>
              </w:rPr>
            </w:pPr>
            <w:r>
              <w:rPr>
                <w:rFonts w:eastAsia="宋体"/>
                <w:color w:val="000000"/>
                <w:kern w:val="0"/>
                <w:sz w:val="24"/>
              </w:rPr>
              <w:t>1.56</w:t>
            </w:r>
          </w:p>
        </w:tc>
        <w:tc>
          <w:tcPr>
            <w:tcW w:w="890" w:type="dxa"/>
            <w:tcBorders>
              <w:top w:val="nil"/>
              <w:left w:val="nil"/>
              <w:bottom w:val="single" w:color="auto" w:sz="4" w:space="0"/>
              <w:right w:val="single" w:color="auto" w:sz="4" w:space="0"/>
            </w:tcBorders>
            <w:shd w:val="clear" w:color="auto" w:fill="auto"/>
            <w:vAlign w:val="center"/>
          </w:tcPr>
          <w:p w14:paraId="65D323A7">
            <w:pPr>
              <w:widowControl/>
              <w:ind w:firstLine="0" w:firstLineChars="0"/>
              <w:jc w:val="center"/>
              <w:rPr>
                <w:rFonts w:eastAsia="宋体"/>
                <w:color w:val="000000"/>
                <w:kern w:val="0"/>
                <w:sz w:val="24"/>
              </w:rPr>
            </w:pPr>
            <w:r>
              <w:rPr>
                <w:rFonts w:eastAsia="宋体"/>
                <w:color w:val="000000"/>
                <w:kern w:val="0"/>
                <w:sz w:val="24"/>
              </w:rPr>
              <w:t>1.57</w:t>
            </w:r>
          </w:p>
        </w:tc>
        <w:tc>
          <w:tcPr>
            <w:tcW w:w="850" w:type="dxa"/>
            <w:tcBorders>
              <w:top w:val="nil"/>
              <w:left w:val="nil"/>
              <w:bottom w:val="single" w:color="auto" w:sz="4" w:space="0"/>
              <w:right w:val="single" w:color="auto" w:sz="4" w:space="0"/>
            </w:tcBorders>
            <w:shd w:val="clear" w:color="auto" w:fill="auto"/>
            <w:vAlign w:val="center"/>
          </w:tcPr>
          <w:p w14:paraId="6226FD33">
            <w:pPr>
              <w:widowControl/>
              <w:ind w:firstLine="0" w:firstLineChars="0"/>
              <w:jc w:val="center"/>
              <w:rPr>
                <w:rFonts w:eastAsia="宋体"/>
                <w:color w:val="000000"/>
                <w:kern w:val="0"/>
                <w:sz w:val="24"/>
              </w:rPr>
            </w:pPr>
            <w:r>
              <w:rPr>
                <w:rFonts w:eastAsia="宋体"/>
                <w:color w:val="000000"/>
                <w:kern w:val="0"/>
                <w:sz w:val="24"/>
              </w:rPr>
              <w:t>0.6</w:t>
            </w:r>
          </w:p>
        </w:tc>
      </w:tr>
      <w:tr w14:paraId="39418BD5">
        <w:tblPrEx>
          <w:tblCellMar>
            <w:top w:w="0" w:type="dxa"/>
            <w:left w:w="108" w:type="dxa"/>
            <w:bottom w:w="0" w:type="dxa"/>
            <w:right w:w="108" w:type="dxa"/>
          </w:tblCellMar>
        </w:tblPrEx>
        <w:trPr>
          <w:trHeight w:val="567" w:hRule="atLeast"/>
          <w:jc w:val="center"/>
        </w:trPr>
        <w:tc>
          <w:tcPr>
            <w:tcW w:w="722" w:type="dxa"/>
            <w:tcBorders>
              <w:top w:val="nil"/>
              <w:left w:val="single" w:color="auto" w:sz="4" w:space="0"/>
              <w:bottom w:val="single" w:color="auto" w:sz="4" w:space="0"/>
              <w:right w:val="single" w:color="auto" w:sz="4" w:space="0"/>
            </w:tcBorders>
            <w:shd w:val="clear" w:color="auto" w:fill="auto"/>
            <w:vAlign w:val="center"/>
          </w:tcPr>
          <w:p w14:paraId="5DD2E3CF">
            <w:pPr>
              <w:widowControl/>
              <w:ind w:firstLine="0" w:firstLineChars="0"/>
              <w:jc w:val="center"/>
              <w:rPr>
                <w:rFonts w:eastAsia="宋体"/>
                <w:color w:val="000000"/>
                <w:kern w:val="0"/>
                <w:sz w:val="24"/>
              </w:rPr>
            </w:pPr>
            <w:r>
              <w:rPr>
                <w:rFonts w:eastAsia="宋体"/>
                <w:color w:val="000000"/>
                <w:kern w:val="0"/>
                <w:sz w:val="24"/>
              </w:rPr>
              <w:t>2</w:t>
            </w:r>
          </w:p>
        </w:tc>
        <w:tc>
          <w:tcPr>
            <w:tcW w:w="1379" w:type="dxa"/>
            <w:tcBorders>
              <w:top w:val="nil"/>
              <w:left w:val="nil"/>
              <w:bottom w:val="single" w:color="auto" w:sz="4" w:space="0"/>
              <w:right w:val="single" w:color="auto" w:sz="4" w:space="0"/>
            </w:tcBorders>
            <w:shd w:val="clear" w:color="auto" w:fill="auto"/>
            <w:vAlign w:val="center"/>
          </w:tcPr>
          <w:p w14:paraId="3E5C4123">
            <w:pPr>
              <w:widowControl/>
              <w:ind w:firstLine="0" w:firstLineChars="0"/>
              <w:jc w:val="center"/>
              <w:rPr>
                <w:rFonts w:ascii="宋体" w:hAnsi="宋体" w:eastAsia="宋体" w:cs="宋体"/>
                <w:color w:val="000000"/>
                <w:kern w:val="0"/>
                <w:sz w:val="24"/>
              </w:rPr>
            </w:pPr>
            <w:r>
              <w:rPr>
                <w:rFonts w:hint="eastAsia" w:ascii="宋体" w:hAnsi="宋体" w:eastAsia="宋体" w:cs="宋体"/>
                <w:color w:val="000000"/>
                <w:kern w:val="0"/>
                <w:sz w:val="24"/>
              </w:rPr>
              <w:t>姜黄</w:t>
            </w:r>
          </w:p>
        </w:tc>
        <w:tc>
          <w:tcPr>
            <w:tcW w:w="1507" w:type="dxa"/>
            <w:tcBorders>
              <w:top w:val="nil"/>
              <w:left w:val="nil"/>
              <w:bottom w:val="single" w:color="auto" w:sz="4" w:space="0"/>
              <w:right w:val="single" w:color="auto" w:sz="4" w:space="0"/>
            </w:tcBorders>
            <w:shd w:val="clear" w:color="auto" w:fill="auto"/>
            <w:vAlign w:val="center"/>
          </w:tcPr>
          <w:p w14:paraId="78F66D0E">
            <w:pPr>
              <w:widowControl/>
              <w:ind w:firstLine="0" w:firstLineChars="0"/>
              <w:jc w:val="center"/>
              <w:rPr>
                <w:rFonts w:eastAsia="宋体"/>
                <w:kern w:val="0"/>
                <w:sz w:val="24"/>
              </w:rPr>
            </w:pPr>
            <w:r>
              <w:rPr>
                <w:rFonts w:eastAsia="宋体"/>
                <w:kern w:val="0"/>
                <w:sz w:val="24"/>
              </w:rPr>
              <w:t>2024070801</w:t>
            </w:r>
          </w:p>
        </w:tc>
        <w:tc>
          <w:tcPr>
            <w:tcW w:w="839" w:type="dxa"/>
            <w:tcBorders>
              <w:top w:val="nil"/>
              <w:left w:val="nil"/>
              <w:bottom w:val="single" w:color="auto" w:sz="4" w:space="0"/>
              <w:right w:val="single" w:color="auto" w:sz="4" w:space="0"/>
            </w:tcBorders>
            <w:shd w:val="clear" w:color="auto" w:fill="auto"/>
            <w:vAlign w:val="center"/>
          </w:tcPr>
          <w:p w14:paraId="458B9239">
            <w:pPr>
              <w:widowControl/>
              <w:ind w:firstLine="0" w:firstLineChars="0"/>
              <w:jc w:val="center"/>
              <w:rPr>
                <w:rFonts w:eastAsia="宋体"/>
                <w:color w:val="000000"/>
                <w:kern w:val="0"/>
                <w:sz w:val="24"/>
              </w:rPr>
            </w:pPr>
            <w:r>
              <w:rPr>
                <w:rFonts w:eastAsia="宋体"/>
                <w:color w:val="000000"/>
                <w:kern w:val="0"/>
                <w:sz w:val="24"/>
              </w:rPr>
              <w:t>1.9</w:t>
            </w:r>
            <w:r>
              <w:rPr>
                <w:rFonts w:hint="eastAsia" w:eastAsia="宋体"/>
                <w:color w:val="000000"/>
                <w:kern w:val="0"/>
                <w:sz w:val="24"/>
              </w:rPr>
              <w:t>0</w:t>
            </w:r>
          </w:p>
        </w:tc>
        <w:tc>
          <w:tcPr>
            <w:tcW w:w="850" w:type="dxa"/>
            <w:tcBorders>
              <w:top w:val="nil"/>
              <w:left w:val="nil"/>
              <w:bottom w:val="single" w:color="auto" w:sz="4" w:space="0"/>
              <w:right w:val="single" w:color="auto" w:sz="4" w:space="0"/>
            </w:tcBorders>
            <w:shd w:val="clear" w:color="auto" w:fill="auto"/>
            <w:vAlign w:val="center"/>
          </w:tcPr>
          <w:p w14:paraId="6780FBB6">
            <w:pPr>
              <w:widowControl/>
              <w:ind w:firstLine="0" w:firstLineChars="0"/>
              <w:jc w:val="center"/>
              <w:rPr>
                <w:rFonts w:eastAsia="宋体"/>
                <w:color w:val="000000"/>
                <w:kern w:val="0"/>
                <w:sz w:val="24"/>
              </w:rPr>
            </w:pPr>
            <w:r>
              <w:rPr>
                <w:rFonts w:eastAsia="宋体"/>
                <w:color w:val="000000"/>
                <w:kern w:val="0"/>
                <w:sz w:val="24"/>
              </w:rPr>
              <w:t>1.88</w:t>
            </w:r>
          </w:p>
        </w:tc>
        <w:tc>
          <w:tcPr>
            <w:tcW w:w="811" w:type="dxa"/>
            <w:tcBorders>
              <w:top w:val="nil"/>
              <w:left w:val="nil"/>
              <w:bottom w:val="single" w:color="auto" w:sz="4" w:space="0"/>
              <w:right w:val="single" w:color="auto" w:sz="4" w:space="0"/>
            </w:tcBorders>
            <w:shd w:val="clear" w:color="auto" w:fill="auto"/>
            <w:vAlign w:val="center"/>
          </w:tcPr>
          <w:p w14:paraId="1565D1B6">
            <w:pPr>
              <w:widowControl/>
              <w:ind w:firstLine="0" w:firstLineChars="0"/>
              <w:jc w:val="center"/>
              <w:rPr>
                <w:rFonts w:eastAsia="宋体"/>
                <w:color w:val="000000"/>
                <w:kern w:val="0"/>
                <w:sz w:val="24"/>
              </w:rPr>
            </w:pPr>
            <w:r>
              <w:rPr>
                <w:rFonts w:eastAsia="宋体"/>
                <w:color w:val="000000"/>
                <w:kern w:val="0"/>
                <w:sz w:val="24"/>
              </w:rPr>
              <w:t>1.93</w:t>
            </w:r>
          </w:p>
        </w:tc>
        <w:tc>
          <w:tcPr>
            <w:tcW w:w="851" w:type="dxa"/>
            <w:tcBorders>
              <w:top w:val="nil"/>
              <w:left w:val="nil"/>
              <w:bottom w:val="single" w:color="auto" w:sz="4" w:space="0"/>
              <w:right w:val="single" w:color="auto" w:sz="4" w:space="0"/>
            </w:tcBorders>
            <w:shd w:val="clear" w:color="auto" w:fill="auto"/>
            <w:vAlign w:val="center"/>
          </w:tcPr>
          <w:p w14:paraId="72E8CFBA">
            <w:pPr>
              <w:widowControl/>
              <w:ind w:firstLine="0" w:firstLineChars="0"/>
              <w:jc w:val="center"/>
              <w:rPr>
                <w:rFonts w:eastAsia="宋体"/>
                <w:color w:val="000000"/>
                <w:kern w:val="0"/>
                <w:sz w:val="24"/>
              </w:rPr>
            </w:pPr>
            <w:r>
              <w:rPr>
                <w:rFonts w:eastAsia="宋体"/>
                <w:color w:val="000000"/>
                <w:kern w:val="0"/>
                <w:sz w:val="24"/>
              </w:rPr>
              <w:t>1.99</w:t>
            </w:r>
          </w:p>
        </w:tc>
        <w:tc>
          <w:tcPr>
            <w:tcW w:w="890" w:type="dxa"/>
            <w:tcBorders>
              <w:top w:val="nil"/>
              <w:left w:val="nil"/>
              <w:bottom w:val="single" w:color="auto" w:sz="4" w:space="0"/>
              <w:right w:val="single" w:color="auto" w:sz="4" w:space="0"/>
            </w:tcBorders>
            <w:shd w:val="clear" w:color="auto" w:fill="auto"/>
            <w:vAlign w:val="center"/>
          </w:tcPr>
          <w:p w14:paraId="3E9A6796">
            <w:pPr>
              <w:widowControl/>
              <w:ind w:firstLine="0" w:firstLineChars="0"/>
              <w:jc w:val="center"/>
              <w:rPr>
                <w:rFonts w:eastAsia="宋体"/>
                <w:color w:val="000000"/>
                <w:kern w:val="0"/>
                <w:sz w:val="24"/>
              </w:rPr>
            </w:pPr>
            <w:r>
              <w:rPr>
                <w:rFonts w:eastAsia="宋体"/>
                <w:color w:val="000000"/>
                <w:kern w:val="0"/>
                <w:sz w:val="24"/>
              </w:rPr>
              <w:t>1.93</w:t>
            </w:r>
          </w:p>
        </w:tc>
        <w:tc>
          <w:tcPr>
            <w:tcW w:w="850" w:type="dxa"/>
            <w:tcBorders>
              <w:top w:val="nil"/>
              <w:left w:val="nil"/>
              <w:bottom w:val="single" w:color="auto" w:sz="4" w:space="0"/>
              <w:right w:val="single" w:color="auto" w:sz="4" w:space="0"/>
            </w:tcBorders>
            <w:shd w:val="clear" w:color="auto" w:fill="auto"/>
            <w:vAlign w:val="center"/>
          </w:tcPr>
          <w:p w14:paraId="7AF95788">
            <w:pPr>
              <w:widowControl/>
              <w:ind w:firstLine="0" w:firstLineChars="0"/>
              <w:jc w:val="center"/>
              <w:rPr>
                <w:rFonts w:eastAsia="宋体"/>
                <w:color w:val="000000"/>
                <w:kern w:val="0"/>
                <w:sz w:val="24"/>
              </w:rPr>
            </w:pPr>
            <w:r>
              <w:rPr>
                <w:rFonts w:eastAsia="宋体"/>
                <w:color w:val="000000"/>
                <w:kern w:val="0"/>
                <w:sz w:val="24"/>
              </w:rPr>
              <w:t>2.5</w:t>
            </w:r>
          </w:p>
        </w:tc>
      </w:tr>
      <w:tr w14:paraId="63EF9C39">
        <w:tblPrEx>
          <w:tblCellMar>
            <w:top w:w="0" w:type="dxa"/>
            <w:left w:w="108" w:type="dxa"/>
            <w:bottom w:w="0" w:type="dxa"/>
            <w:right w:w="108" w:type="dxa"/>
          </w:tblCellMar>
        </w:tblPrEx>
        <w:trPr>
          <w:trHeight w:val="567" w:hRule="atLeast"/>
          <w:jc w:val="center"/>
        </w:trPr>
        <w:tc>
          <w:tcPr>
            <w:tcW w:w="722" w:type="dxa"/>
            <w:tcBorders>
              <w:top w:val="nil"/>
              <w:left w:val="single" w:color="auto" w:sz="4" w:space="0"/>
              <w:bottom w:val="single" w:color="auto" w:sz="4" w:space="0"/>
              <w:right w:val="single" w:color="auto" w:sz="4" w:space="0"/>
            </w:tcBorders>
            <w:shd w:val="clear" w:color="auto" w:fill="auto"/>
            <w:vAlign w:val="center"/>
          </w:tcPr>
          <w:p w14:paraId="0A1FD683">
            <w:pPr>
              <w:widowControl/>
              <w:ind w:firstLine="0" w:firstLineChars="0"/>
              <w:jc w:val="center"/>
              <w:rPr>
                <w:rFonts w:eastAsia="宋体"/>
                <w:color w:val="000000"/>
                <w:kern w:val="0"/>
                <w:sz w:val="24"/>
              </w:rPr>
            </w:pPr>
            <w:r>
              <w:rPr>
                <w:rFonts w:eastAsia="宋体"/>
                <w:color w:val="000000"/>
                <w:kern w:val="0"/>
                <w:sz w:val="24"/>
              </w:rPr>
              <w:t>3</w:t>
            </w:r>
          </w:p>
        </w:tc>
        <w:tc>
          <w:tcPr>
            <w:tcW w:w="1379" w:type="dxa"/>
            <w:tcBorders>
              <w:top w:val="nil"/>
              <w:left w:val="nil"/>
              <w:bottom w:val="single" w:color="auto" w:sz="4" w:space="0"/>
              <w:right w:val="single" w:color="auto" w:sz="4" w:space="0"/>
            </w:tcBorders>
            <w:shd w:val="clear" w:color="auto" w:fill="auto"/>
            <w:vAlign w:val="center"/>
          </w:tcPr>
          <w:p w14:paraId="3DC3A21C">
            <w:pPr>
              <w:widowControl/>
              <w:ind w:firstLine="0" w:firstLineChars="0"/>
              <w:jc w:val="center"/>
              <w:rPr>
                <w:rFonts w:ascii="宋体" w:hAnsi="宋体" w:eastAsia="宋体" w:cs="宋体"/>
                <w:color w:val="000000"/>
                <w:kern w:val="0"/>
                <w:sz w:val="24"/>
              </w:rPr>
            </w:pPr>
            <w:r>
              <w:rPr>
                <w:rFonts w:hint="eastAsia" w:ascii="宋体" w:hAnsi="宋体" w:eastAsia="宋体" w:cs="宋体"/>
                <w:color w:val="000000"/>
                <w:kern w:val="0"/>
                <w:sz w:val="24"/>
              </w:rPr>
              <w:t>姜黄</w:t>
            </w:r>
          </w:p>
        </w:tc>
        <w:tc>
          <w:tcPr>
            <w:tcW w:w="1507" w:type="dxa"/>
            <w:tcBorders>
              <w:top w:val="nil"/>
              <w:left w:val="nil"/>
              <w:bottom w:val="single" w:color="auto" w:sz="4" w:space="0"/>
              <w:right w:val="single" w:color="auto" w:sz="4" w:space="0"/>
            </w:tcBorders>
            <w:shd w:val="clear" w:color="auto" w:fill="auto"/>
            <w:vAlign w:val="center"/>
          </w:tcPr>
          <w:p w14:paraId="52A1BED1">
            <w:pPr>
              <w:widowControl/>
              <w:ind w:firstLine="0" w:firstLineChars="0"/>
              <w:jc w:val="center"/>
              <w:rPr>
                <w:rFonts w:eastAsia="宋体"/>
                <w:kern w:val="0"/>
                <w:sz w:val="24"/>
              </w:rPr>
            </w:pPr>
            <w:r>
              <w:rPr>
                <w:rFonts w:eastAsia="宋体"/>
                <w:kern w:val="0"/>
                <w:sz w:val="24"/>
              </w:rPr>
              <w:t>2023030301</w:t>
            </w:r>
          </w:p>
        </w:tc>
        <w:tc>
          <w:tcPr>
            <w:tcW w:w="839" w:type="dxa"/>
            <w:tcBorders>
              <w:top w:val="nil"/>
              <w:left w:val="nil"/>
              <w:bottom w:val="single" w:color="auto" w:sz="4" w:space="0"/>
              <w:right w:val="single" w:color="auto" w:sz="4" w:space="0"/>
            </w:tcBorders>
            <w:shd w:val="clear" w:color="auto" w:fill="auto"/>
            <w:vAlign w:val="center"/>
          </w:tcPr>
          <w:p w14:paraId="194AACB9">
            <w:pPr>
              <w:widowControl/>
              <w:ind w:firstLine="0" w:firstLineChars="0"/>
              <w:jc w:val="center"/>
              <w:rPr>
                <w:rFonts w:eastAsia="宋体"/>
                <w:color w:val="000000"/>
                <w:kern w:val="0"/>
                <w:sz w:val="24"/>
              </w:rPr>
            </w:pPr>
            <w:r>
              <w:rPr>
                <w:rFonts w:eastAsia="宋体"/>
                <w:color w:val="000000"/>
                <w:kern w:val="0"/>
                <w:sz w:val="24"/>
              </w:rPr>
              <w:t>1.76</w:t>
            </w:r>
          </w:p>
        </w:tc>
        <w:tc>
          <w:tcPr>
            <w:tcW w:w="850" w:type="dxa"/>
            <w:tcBorders>
              <w:top w:val="nil"/>
              <w:left w:val="nil"/>
              <w:bottom w:val="single" w:color="auto" w:sz="4" w:space="0"/>
              <w:right w:val="single" w:color="auto" w:sz="4" w:space="0"/>
            </w:tcBorders>
            <w:shd w:val="clear" w:color="auto" w:fill="auto"/>
            <w:vAlign w:val="center"/>
          </w:tcPr>
          <w:p w14:paraId="6E5E8B85">
            <w:pPr>
              <w:widowControl/>
              <w:ind w:firstLine="0" w:firstLineChars="0"/>
              <w:jc w:val="center"/>
              <w:rPr>
                <w:rFonts w:eastAsia="宋体"/>
                <w:color w:val="000000"/>
                <w:kern w:val="0"/>
                <w:sz w:val="24"/>
              </w:rPr>
            </w:pPr>
            <w:r>
              <w:rPr>
                <w:rFonts w:eastAsia="宋体"/>
                <w:color w:val="000000"/>
                <w:kern w:val="0"/>
                <w:sz w:val="24"/>
              </w:rPr>
              <w:t>1.81</w:t>
            </w:r>
          </w:p>
        </w:tc>
        <w:tc>
          <w:tcPr>
            <w:tcW w:w="811" w:type="dxa"/>
            <w:tcBorders>
              <w:top w:val="nil"/>
              <w:left w:val="nil"/>
              <w:bottom w:val="single" w:color="auto" w:sz="4" w:space="0"/>
              <w:right w:val="single" w:color="auto" w:sz="4" w:space="0"/>
            </w:tcBorders>
            <w:shd w:val="clear" w:color="auto" w:fill="auto"/>
            <w:vAlign w:val="center"/>
          </w:tcPr>
          <w:p w14:paraId="537D2EDF">
            <w:pPr>
              <w:widowControl/>
              <w:ind w:firstLine="0" w:firstLineChars="0"/>
              <w:jc w:val="center"/>
              <w:rPr>
                <w:rFonts w:eastAsia="宋体"/>
                <w:color w:val="000000"/>
                <w:kern w:val="0"/>
                <w:sz w:val="24"/>
              </w:rPr>
            </w:pPr>
            <w:r>
              <w:rPr>
                <w:rFonts w:eastAsia="宋体"/>
                <w:color w:val="000000"/>
                <w:kern w:val="0"/>
                <w:sz w:val="24"/>
              </w:rPr>
              <w:t>1.8</w:t>
            </w:r>
            <w:r>
              <w:rPr>
                <w:rFonts w:hint="eastAsia" w:eastAsia="宋体"/>
                <w:color w:val="000000"/>
                <w:kern w:val="0"/>
                <w:sz w:val="24"/>
              </w:rPr>
              <w:t>0</w:t>
            </w:r>
          </w:p>
        </w:tc>
        <w:tc>
          <w:tcPr>
            <w:tcW w:w="851" w:type="dxa"/>
            <w:tcBorders>
              <w:top w:val="nil"/>
              <w:left w:val="nil"/>
              <w:bottom w:val="single" w:color="auto" w:sz="4" w:space="0"/>
              <w:right w:val="single" w:color="auto" w:sz="4" w:space="0"/>
            </w:tcBorders>
            <w:shd w:val="clear" w:color="auto" w:fill="auto"/>
            <w:vAlign w:val="center"/>
          </w:tcPr>
          <w:p w14:paraId="6620A8B2">
            <w:pPr>
              <w:widowControl/>
              <w:ind w:firstLine="0" w:firstLineChars="0"/>
              <w:jc w:val="center"/>
              <w:rPr>
                <w:rFonts w:eastAsia="宋体"/>
                <w:kern w:val="0"/>
                <w:sz w:val="24"/>
              </w:rPr>
            </w:pPr>
            <w:r>
              <w:rPr>
                <w:rFonts w:eastAsia="宋体"/>
                <w:kern w:val="0"/>
                <w:sz w:val="24"/>
              </w:rPr>
              <w:t>1.71</w:t>
            </w:r>
          </w:p>
        </w:tc>
        <w:tc>
          <w:tcPr>
            <w:tcW w:w="890" w:type="dxa"/>
            <w:tcBorders>
              <w:top w:val="nil"/>
              <w:left w:val="nil"/>
              <w:bottom w:val="single" w:color="auto" w:sz="4" w:space="0"/>
              <w:right w:val="single" w:color="auto" w:sz="4" w:space="0"/>
            </w:tcBorders>
            <w:shd w:val="clear" w:color="auto" w:fill="auto"/>
            <w:vAlign w:val="center"/>
          </w:tcPr>
          <w:p w14:paraId="0333F2C4">
            <w:pPr>
              <w:widowControl/>
              <w:ind w:firstLine="0" w:firstLineChars="0"/>
              <w:jc w:val="center"/>
              <w:rPr>
                <w:rFonts w:eastAsia="宋体"/>
                <w:color w:val="000000"/>
                <w:kern w:val="0"/>
                <w:sz w:val="24"/>
              </w:rPr>
            </w:pPr>
            <w:r>
              <w:rPr>
                <w:rFonts w:eastAsia="宋体"/>
                <w:color w:val="000000"/>
                <w:kern w:val="0"/>
                <w:sz w:val="24"/>
              </w:rPr>
              <w:t>1.77</w:t>
            </w:r>
          </w:p>
        </w:tc>
        <w:tc>
          <w:tcPr>
            <w:tcW w:w="850" w:type="dxa"/>
            <w:tcBorders>
              <w:top w:val="nil"/>
              <w:left w:val="nil"/>
              <w:bottom w:val="single" w:color="auto" w:sz="4" w:space="0"/>
              <w:right w:val="single" w:color="auto" w:sz="4" w:space="0"/>
            </w:tcBorders>
            <w:shd w:val="clear" w:color="auto" w:fill="auto"/>
            <w:vAlign w:val="center"/>
          </w:tcPr>
          <w:p w14:paraId="34831D15">
            <w:pPr>
              <w:widowControl/>
              <w:ind w:firstLine="0" w:firstLineChars="0"/>
              <w:jc w:val="center"/>
              <w:rPr>
                <w:rFonts w:eastAsia="宋体"/>
                <w:color w:val="000000"/>
                <w:kern w:val="0"/>
                <w:sz w:val="24"/>
              </w:rPr>
            </w:pPr>
            <w:r>
              <w:rPr>
                <w:rFonts w:eastAsia="宋体"/>
                <w:color w:val="000000"/>
                <w:kern w:val="0"/>
                <w:sz w:val="24"/>
              </w:rPr>
              <w:t>2.6</w:t>
            </w:r>
          </w:p>
        </w:tc>
      </w:tr>
      <w:tr w14:paraId="152B3546">
        <w:tblPrEx>
          <w:tblCellMar>
            <w:top w:w="0" w:type="dxa"/>
            <w:left w:w="108" w:type="dxa"/>
            <w:bottom w:w="0" w:type="dxa"/>
            <w:right w:w="108" w:type="dxa"/>
          </w:tblCellMar>
        </w:tblPrEx>
        <w:trPr>
          <w:trHeight w:val="567" w:hRule="atLeast"/>
          <w:jc w:val="center"/>
        </w:trPr>
        <w:tc>
          <w:tcPr>
            <w:tcW w:w="722" w:type="dxa"/>
            <w:tcBorders>
              <w:top w:val="nil"/>
              <w:left w:val="single" w:color="auto" w:sz="4" w:space="0"/>
              <w:bottom w:val="single" w:color="auto" w:sz="4" w:space="0"/>
              <w:right w:val="single" w:color="auto" w:sz="4" w:space="0"/>
            </w:tcBorders>
            <w:shd w:val="clear" w:color="auto" w:fill="auto"/>
            <w:vAlign w:val="center"/>
          </w:tcPr>
          <w:p w14:paraId="09D9209E">
            <w:pPr>
              <w:widowControl/>
              <w:ind w:firstLine="0" w:firstLineChars="0"/>
              <w:jc w:val="center"/>
              <w:rPr>
                <w:rFonts w:eastAsia="宋体"/>
                <w:color w:val="000000"/>
                <w:kern w:val="0"/>
                <w:sz w:val="24"/>
              </w:rPr>
            </w:pPr>
            <w:r>
              <w:rPr>
                <w:rFonts w:eastAsia="宋体"/>
                <w:color w:val="000000"/>
                <w:kern w:val="0"/>
                <w:sz w:val="24"/>
              </w:rPr>
              <w:t>4</w:t>
            </w:r>
          </w:p>
        </w:tc>
        <w:tc>
          <w:tcPr>
            <w:tcW w:w="1379" w:type="dxa"/>
            <w:tcBorders>
              <w:top w:val="nil"/>
              <w:left w:val="nil"/>
              <w:bottom w:val="single" w:color="auto" w:sz="4" w:space="0"/>
              <w:right w:val="single" w:color="auto" w:sz="4" w:space="0"/>
            </w:tcBorders>
            <w:shd w:val="clear" w:color="auto" w:fill="auto"/>
            <w:vAlign w:val="center"/>
          </w:tcPr>
          <w:p w14:paraId="0E5D1EFF">
            <w:pPr>
              <w:widowControl/>
              <w:ind w:firstLine="0" w:firstLineChars="0"/>
              <w:jc w:val="center"/>
              <w:rPr>
                <w:rFonts w:ascii="宋体" w:hAnsi="宋体" w:eastAsia="宋体" w:cs="宋体"/>
                <w:color w:val="000000"/>
                <w:kern w:val="0"/>
                <w:sz w:val="24"/>
              </w:rPr>
            </w:pPr>
            <w:r>
              <w:rPr>
                <w:rFonts w:hint="eastAsia" w:ascii="宋体" w:hAnsi="宋体" w:eastAsia="宋体" w:cs="宋体"/>
                <w:color w:val="000000"/>
                <w:kern w:val="0"/>
                <w:sz w:val="24"/>
              </w:rPr>
              <w:t>姜黄</w:t>
            </w:r>
          </w:p>
        </w:tc>
        <w:tc>
          <w:tcPr>
            <w:tcW w:w="1507" w:type="dxa"/>
            <w:tcBorders>
              <w:top w:val="nil"/>
              <w:left w:val="nil"/>
              <w:bottom w:val="single" w:color="auto" w:sz="4" w:space="0"/>
              <w:right w:val="single" w:color="auto" w:sz="4" w:space="0"/>
            </w:tcBorders>
            <w:shd w:val="clear" w:color="auto" w:fill="auto"/>
            <w:vAlign w:val="center"/>
          </w:tcPr>
          <w:p w14:paraId="2E8BFF00">
            <w:pPr>
              <w:widowControl/>
              <w:ind w:firstLine="0" w:firstLineChars="0"/>
              <w:jc w:val="center"/>
              <w:rPr>
                <w:rFonts w:eastAsia="宋体"/>
                <w:kern w:val="0"/>
                <w:sz w:val="24"/>
              </w:rPr>
            </w:pPr>
            <w:r>
              <w:rPr>
                <w:rFonts w:eastAsia="宋体"/>
                <w:kern w:val="0"/>
                <w:sz w:val="24"/>
              </w:rPr>
              <w:t>2408050002</w:t>
            </w:r>
          </w:p>
        </w:tc>
        <w:tc>
          <w:tcPr>
            <w:tcW w:w="839" w:type="dxa"/>
            <w:tcBorders>
              <w:top w:val="nil"/>
              <w:left w:val="nil"/>
              <w:bottom w:val="single" w:color="auto" w:sz="4" w:space="0"/>
              <w:right w:val="single" w:color="auto" w:sz="4" w:space="0"/>
            </w:tcBorders>
            <w:shd w:val="clear" w:color="auto" w:fill="auto"/>
            <w:vAlign w:val="center"/>
          </w:tcPr>
          <w:p w14:paraId="1F8A222E">
            <w:pPr>
              <w:widowControl/>
              <w:ind w:firstLine="0" w:firstLineChars="0"/>
              <w:jc w:val="center"/>
              <w:rPr>
                <w:rFonts w:eastAsia="宋体"/>
                <w:color w:val="000000"/>
                <w:kern w:val="0"/>
                <w:sz w:val="24"/>
              </w:rPr>
            </w:pPr>
            <w:r>
              <w:rPr>
                <w:rFonts w:eastAsia="宋体"/>
                <w:color w:val="000000"/>
                <w:kern w:val="0"/>
                <w:sz w:val="24"/>
              </w:rPr>
              <w:t>0.248</w:t>
            </w:r>
          </w:p>
        </w:tc>
        <w:tc>
          <w:tcPr>
            <w:tcW w:w="850" w:type="dxa"/>
            <w:tcBorders>
              <w:top w:val="nil"/>
              <w:left w:val="nil"/>
              <w:bottom w:val="single" w:color="auto" w:sz="4" w:space="0"/>
              <w:right w:val="single" w:color="auto" w:sz="4" w:space="0"/>
            </w:tcBorders>
            <w:shd w:val="clear" w:color="auto" w:fill="auto"/>
            <w:vAlign w:val="center"/>
          </w:tcPr>
          <w:p w14:paraId="4701EA07">
            <w:pPr>
              <w:widowControl/>
              <w:ind w:firstLine="0" w:firstLineChars="0"/>
              <w:jc w:val="center"/>
              <w:rPr>
                <w:rFonts w:eastAsia="宋体"/>
                <w:color w:val="000000"/>
                <w:kern w:val="0"/>
                <w:sz w:val="24"/>
              </w:rPr>
            </w:pPr>
            <w:r>
              <w:rPr>
                <w:rFonts w:eastAsia="宋体"/>
                <w:color w:val="000000"/>
                <w:kern w:val="0"/>
                <w:sz w:val="24"/>
              </w:rPr>
              <w:t>0.261</w:t>
            </w:r>
          </w:p>
        </w:tc>
        <w:tc>
          <w:tcPr>
            <w:tcW w:w="811" w:type="dxa"/>
            <w:tcBorders>
              <w:top w:val="nil"/>
              <w:left w:val="nil"/>
              <w:bottom w:val="single" w:color="auto" w:sz="4" w:space="0"/>
              <w:right w:val="single" w:color="auto" w:sz="4" w:space="0"/>
            </w:tcBorders>
            <w:shd w:val="clear" w:color="auto" w:fill="auto"/>
            <w:vAlign w:val="center"/>
          </w:tcPr>
          <w:p w14:paraId="0EBB3A70">
            <w:pPr>
              <w:widowControl/>
              <w:ind w:firstLine="0" w:firstLineChars="0"/>
              <w:jc w:val="center"/>
              <w:rPr>
                <w:rFonts w:eastAsia="宋体"/>
                <w:color w:val="000000"/>
                <w:kern w:val="0"/>
                <w:sz w:val="24"/>
              </w:rPr>
            </w:pPr>
            <w:r>
              <w:rPr>
                <w:rFonts w:eastAsia="宋体"/>
                <w:color w:val="000000"/>
                <w:kern w:val="0"/>
                <w:sz w:val="24"/>
              </w:rPr>
              <w:t>0.253</w:t>
            </w:r>
          </w:p>
        </w:tc>
        <w:tc>
          <w:tcPr>
            <w:tcW w:w="851" w:type="dxa"/>
            <w:tcBorders>
              <w:top w:val="nil"/>
              <w:left w:val="nil"/>
              <w:bottom w:val="single" w:color="auto" w:sz="4" w:space="0"/>
              <w:right w:val="single" w:color="auto" w:sz="4" w:space="0"/>
            </w:tcBorders>
            <w:shd w:val="clear" w:color="auto" w:fill="auto"/>
            <w:vAlign w:val="center"/>
          </w:tcPr>
          <w:p w14:paraId="13A8F4D6">
            <w:pPr>
              <w:widowControl/>
              <w:ind w:firstLine="0" w:firstLineChars="0"/>
              <w:jc w:val="center"/>
              <w:rPr>
                <w:rFonts w:eastAsia="宋体"/>
                <w:color w:val="000000"/>
                <w:kern w:val="0"/>
                <w:sz w:val="24"/>
              </w:rPr>
            </w:pPr>
            <w:r>
              <w:rPr>
                <w:rFonts w:eastAsia="宋体"/>
                <w:color w:val="000000"/>
                <w:kern w:val="0"/>
                <w:sz w:val="24"/>
              </w:rPr>
              <w:t>0.259</w:t>
            </w:r>
          </w:p>
        </w:tc>
        <w:tc>
          <w:tcPr>
            <w:tcW w:w="890" w:type="dxa"/>
            <w:tcBorders>
              <w:top w:val="nil"/>
              <w:left w:val="nil"/>
              <w:bottom w:val="single" w:color="auto" w:sz="4" w:space="0"/>
              <w:right w:val="single" w:color="auto" w:sz="4" w:space="0"/>
            </w:tcBorders>
            <w:shd w:val="clear" w:color="auto" w:fill="auto"/>
            <w:vAlign w:val="center"/>
          </w:tcPr>
          <w:p w14:paraId="5BCD824D">
            <w:pPr>
              <w:widowControl/>
              <w:ind w:firstLine="0" w:firstLineChars="0"/>
              <w:jc w:val="center"/>
              <w:rPr>
                <w:rFonts w:eastAsia="宋体"/>
                <w:color w:val="000000"/>
                <w:kern w:val="0"/>
                <w:sz w:val="24"/>
              </w:rPr>
            </w:pPr>
            <w:r>
              <w:rPr>
                <w:rFonts w:eastAsia="宋体"/>
                <w:color w:val="000000"/>
                <w:kern w:val="0"/>
                <w:sz w:val="24"/>
              </w:rPr>
              <w:t>0.255</w:t>
            </w:r>
          </w:p>
        </w:tc>
        <w:tc>
          <w:tcPr>
            <w:tcW w:w="850" w:type="dxa"/>
            <w:tcBorders>
              <w:top w:val="nil"/>
              <w:left w:val="nil"/>
              <w:bottom w:val="single" w:color="auto" w:sz="4" w:space="0"/>
              <w:right w:val="single" w:color="auto" w:sz="4" w:space="0"/>
            </w:tcBorders>
            <w:shd w:val="clear" w:color="auto" w:fill="auto"/>
            <w:vAlign w:val="center"/>
          </w:tcPr>
          <w:p w14:paraId="0E571095">
            <w:pPr>
              <w:widowControl/>
              <w:ind w:firstLine="0" w:firstLineChars="0"/>
              <w:jc w:val="center"/>
              <w:rPr>
                <w:rFonts w:eastAsia="宋体"/>
                <w:color w:val="000000"/>
                <w:kern w:val="0"/>
                <w:sz w:val="24"/>
              </w:rPr>
            </w:pPr>
            <w:r>
              <w:rPr>
                <w:rFonts w:eastAsia="宋体"/>
                <w:color w:val="000000"/>
                <w:kern w:val="0"/>
                <w:sz w:val="24"/>
              </w:rPr>
              <w:t>2.3</w:t>
            </w:r>
          </w:p>
        </w:tc>
      </w:tr>
      <w:tr w14:paraId="69B59F5E">
        <w:tblPrEx>
          <w:tblCellMar>
            <w:top w:w="0" w:type="dxa"/>
            <w:left w:w="108" w:type="dxa"/>
            <w:bottom w:w="0" w:type="dxa"/>
            <w:right w:w="108" w:type="dxa"/>
          </w:tblCellMar>
        </w:tblPrEx>
        <w:trPr>
          <w:trHeight w:val="567" w:hRule="atLeast"/>
          <w:jc w:val="center"/>
        </w:trPr>
        <w:tc>
          <w:tcPr>
            <w:tcW w:w="722" w:type="dxa"/>
            <w:tcBorders>
              <w:top w:val="nil"/>
              <w:left w:val="single" w:color="auto" w:sz="4" w:space="0"/>
              <w:bottom w:val="single" w:color="auto" w:sz="4" w:space="0"/>
              <w:right w:val="single" w:color="auto" w:sz="4" w:space="0"/>
            </w:tcBorders>
            <w:shd w:val="clear" w:color="auto" w:fill="auto"/>
            <w:vAlign w:val="center"/>
          </w:tcPr>
          <w:p w14:paraId="27648491">
            <w:pPr>
              <w:widowControl/>
              <w:ind w:firstLine="0" w:firstLineChars="0"/>
              <w:jc w:val="center"/>
              <w:rPr>
                <w:rFonts w:eastAsia="宋体"/>
                <w:color w:val="000000"/>
                <w:kern w:val="0"/>
                <w:sz w:val="24"/>
              </w:rPr>
            </w:pPr>
            <w:r>
              <w:rPr>
                <w:rFonts w:eastAsia="宋体"/>
                <w:color w:val="000000"/>
                <w:kern w:val="0"/>
                <w:sz w:val="24"/>
              </w:rPr>
              <w:t>5</w:t>
            </w:r>
          </w:p>
        </w:tc>
        <w:tc>
          <w:tcPr>
            <w:tcW w:w="1379" w:type="dxa"/>
            <w:tcBorders>
              <w:top w:val="nil"/>
              <w:left w:val="nil"/>
              <w:bottom w:val="single" w:color="auto" w:sz="4" w:space="0"/>
              <w:right w:val="single" w:color="auto" w:sz="4" w:space="0"/>
            </w:tcBorders>
            <w:shd w:val="clear" w:color="auto" w:fill="auto"/>
            <w:vAlign w:val="center"/>
          </w:tcPr>
          <w:p w14:paraId="2CBC0DA8">
            <w:pPr>
              <w:widowControl/>
              <w:ind w:firstLine="0" w:firstLineChars="0"/>
              <w:jc w:val="center"/>
              <w:rPr>
                <w:rFonts w:ascii="宋体" w:hAnsi="宋体" w:eastAsia="宋体" w:cs="宋体"/>
                <w:color w:val="000000"/>
                <w:kern w:val="0"/>
                <w:sz w:val="24"/>
              </w:rPr>
            </w:pPr>
            <w:r>
              <w:rPr>
                <w:rFonts w:hint="eastAsia" w:ascii="宋体" w:hAnsi="宋体" w:eastAsia="宋体" w:cs="宋体"/>
                <w:color w:val="000000"/>
                <w:kern w:val="0"/>
                <w:sz w:val="24"/>
              </w:rPr>
              <w:t>姜黄</w:t>
            </w:r>
          </w:p>
        </w:tc>
        <w:tc>
          <w:tcPr>
            <w:tcW w:w="1507" w:type="dxa"/>
            <w:tcBorders>
              <w:top w:val="nil"/>
              <w:left w:val="nil"/>
              <w:bottom w:val="single" w:color="auto" w:sz="4" w:space="0"/>
              <w:right w:val="single" w:color="auto" w:sz="4" w:space="0"/>
            </w:tcBorders>
            <w:shd w:val="clear" w:color="auto" w:fill="auto"/>
            <w:vAlign w:val="center"/>
          </w:tcPr>
          <w:p w14:paraId="1A9F65F1">
            <w:pPr>
              <w:widowControl/>
              <w:ind w:firstLine="0" w:firstLineChars="0"/>
              <w:jc w:val="center"/>
              <w:rPr>
                <w:rFonts w:eastAsia="宋体"/>
                <w:kern w:val="0"/>
                <w:sz w:val="24"/>
              </w:rPr>
            </w:pPr>
            <w:r>
              <w:rPr>
                <w:rFonts w:eastAsia="宋体"/>
                <w:kern w:val="0"/>
                <w:sz w:val="24"/>
              </w:rPr>
              <w:t>2024083001</w:t>
            </w:r>
          </w:p>
        </w:tc>
        <w:tc>
          <w:tcPr>
            <w:tcW w:w="839" w:type="dxa"/>
            <w:tcBorders>
              <w:top w:val="nil"/>
              <w:left w:val="nil"/>
              <w:bottom w:val="single" w:color="auto" w:sz="4" w:space="0"/>
              <w:right w:val="single" w:color="auto" w:sz="4" w:space="0"/>
            </w:tcBorders>
            <w:shd w:val="clear" w:color="auto" w:fill="auto"/>
            <w:vAlign w:val="center"/>
          </w:tcPr>
          <w:p w14:paraId="544477D8">
            <w:pPr>
              <w:widowControl/>
              <w:ind w:firstLine="0" w:firstLineChars="0"/>
              <w:jc w:val="center"/>
              <w:rPr>
                <w:rFonts w:eastAsia="宋体"/>
                <w:color w:val="000000"/>
                <w:kern w:val="0"/>
                <w:sz w:val="24"/>
              </w:rPr>
            </w:pPr>
            <w:r>
              <w:rPr>
                <w:rFonts w:eastAsia="宋体"/>
                <w:color w:val="000000"/>
                <w:kern w:val="0"/>
                <w:sz w:val="24"/>
              </w:rPr>
              <w:t>1.56</w:t>
            </w:r>
          </w:p>
        </w:tc>
        <w:tc>
          <w:tcPr>
            <w:tcW w:w="850" w:type="dxa"/>
            <w:tcBorders>
              <w:top w:val="nil"/>
              <w:left w:val="nil"/>
              <w:bottom w:val="single" w:color="auto" w:sz="4" w:space="0"/>
              <w:right w:val="single" w:color="auto" w:sz="4" w:space="0"/>
            </w:tcBorders>
            <w:shd w:val="clear" w:color="auto" w:fill="auto"/>
            <w:vAlign w:val="center"/>
          </w:tcPr>
          <w:p w14:paraId="10271E15">
            <w:pPr>
              <w:widowControl/>
              <w:ind w:firstLine="0" w:firstLineChars="0"/>
              <w:jc w:val="center"/>
              <w:rPr>
                <w:rFonts w:eastAsia="宋体"/>
                <w:color w:val="000000"/>
                <w:kern w:val="0"/>
                <w:sz w:val="24"/>
              </w:rPr>
            </w:pPr>
            <w:r>
              <w:rPr>
                <w:rFonts w:eastAsia="宋体"/>
                <w:color w:val="000000"/>
                <w:kern w:val="0"/>
                <w:sz w:val="24"/>
              </w:rPr>
              <w:t>1.62</w:t>
            </w:r>
          </w:p>
        </w:tc>
        <w:tc>
          <w:tcPr>
            <w:tcW w:w="811" w:type="dxa"/>
            <w:tcBorders>
              <w:top w:val="nil"/>
              <w:left w:val="nil"/>
              <w:bottom w:val="single" w:color="auto" w:sz="4" w:space="0"/>
              <w:right w:val="single" w:color="auto" w:sz="4" w:space="0"/>
            </w:tcBorders>
            <w:shd w:val="clear" w:color="auto" w:fill="auto"/>
            <w:vAlign w:val="center"/>
          </w:tcPr>
          <w:p w14:paraId="490E04B0">
            <w:pPr>
              <w:widowControl/>
              <w:ind w:firstLine="0" w:firstLineChars="0"/>
              <w:jc w:val="center"/>
              <w:rPr>
                <w:rFonts w:eastAsia="宋体"/>
                <w:color w:val="000000"/>
                <w:kern w:val="0"/>
                <w:sz w:val="24"/>
              </w:rPr>
            </w:pPr>
            <w:r>
              <w:rPr>
                <w:rFonts w:eastAsia="宋体"/>
                <w:color w:val="000000"/>
                <w:kern w:val="0"/>
                <w:sz w:val="24"/>
              </w:rPr>
              <w:t>1.67</w:t>
            </w:r>
          </w:p>
        </w:tc>
        <w:tc>
          <w:tcPr>
            <w:tcW w:w="851" w:type="dxa"/>
            <w:tcBorders>
              <w:top w:val="nil"/>
              <w:left w:val="nil"/>
              <w:bottom w:val="single" w:color="auto" w:sz="4" w:space="0"/>
              <w:right w:val="single" w:color="auto" w:sz="4" w:space="0"/>
            </w:tcBorders>
            <w:shd w:val="clear" w:color="auto" w:fill="auto"/>
            <w:vAlign w:val="center"/>
          </w:tcPr>
          <w:p w14:paraId="74C79527">
            <w:pPr>
              <w:widowControl/>
              <w:ind w:firstLine="0" w:firstLineChars="0"/>
              <w:jc w:val="center"/>
              <w:rPr>
                <w:rFonts w:eastAsia="宋体"/>
                <w:color w:val="000000"/>
                <w:kern w:val="0"/>
                <w:sz w:val="24"/>
              </w:rPr>
            </w:pPr>
            <w:r>
              <w:rPr>
                <w:rFonts w:eastAsia="宋体"/>
                <w:color w:val="000000"/>
                <w:kern w:val="0"/>
                <w:sz w:val="24"/>
              </w:rPr>
              <w:t>1.62</w:t>
            </w:r>
          </w:p>
        </w:tc>
        <w:tc>
          <w:tcPr>
            <w:tcW w:w="890" w:type="dxa"/>
            <w:tcBorders>
              <w:top w:val="nil"/>
              <w:left w:val="nil"/>
              <w:bottom w:val="single" w:color="auto" w:sz="4" w:space="0"/>
              <w:right w:val="single" w:color="auto" w:sz="4" w:space="0"/>
            </w:tcBorders>
            <w:shd w:val="clear" w:color="auto" w:fill="auto"/>
            <w:vAlign w:val="center"/>
          </w:tcPr>
          <w:p w14:paraId="3E8FCDA4">
            <w:pPr>
              <w:widowControl/>
              <w:ind w:firstLine="0" w:firstLineChars="0"/>
              <w:jc w:val="center"/>
              <w:rPr>
                <w:rFonts w:eastAsia="宋体"/>
                <w:color w:val="000000"/>
                <w:kern w:val="0"/>
                <w:sz w:val="24"/>
              </w:rPr>
            </w:pPr>
            <w:r>
              <w:rPr>
                <w:rFonts w:eastAsia="宋体"/>
                <w:color w:val="000000"/>
                <w:kern w:val="0"/>
                <w:sz w:val="24"/>
              </w:rPr>
              <w:t>1.62</w:t>
            </w:r>
          </w:p>
        </w:tc>
        <w:tc>
          <w:tcPr>
            <w:tcW w:w="850" w:type="dxa"/>
            <w:tcBorders>
              <w:top w:val="nil"/>
              <w:left w:val="nil"/>
              <w:bottom w:val="single" w:color="auto" w:sz="4" w:space="0"/>
              <w:right w:val="single" w:color="auto" w:sz="4" w:space="0"/>
            </w:tcBorders>
            <w:shd w:val="clear" w:color="auto" w:fill="auto"/>
            <w:vAlign w:val="center"/>
          </w:tcPr>
          <w:p w14:paraId="70DA0DF2">
            <w:pPr>
              <w:widowControl/>
              <w:ind w:firstLine="0" w:firstLineChars="0"/>
              <w:jc w:val="center"/>
              <w:rPr>
                <w:rFonts w:eastAsia="宋体"/>
                <w:color w:val="000000"/>
                <w:kern w:val="0"/>
                <w:sz w:val="24"/>
              </w:rPr>
            </w:pPr>
            <w:r>
              <w:rPr>
                <w:rFonts w:eastAsia="宋体"/>
                <w:color w:val="000000"/>
                <w:kern w:val="0"/>
                <w:sz w:val="24"/>
              </w:rPr>
              <w:t>2.8</w:t>
            </w:r>
          </w:p>
        </w:tc>
      </w:tr>
      <w:tr w14:paraId="62387C01">
        <w:tblPrEx>
          <w:tblCellMar>
            <w:top w:w="0" w:type="dxa"/>
            <w:left w:w="108" w:type="dxa"/>
            <w:bottom w:w="0" w:type="dxa"/>
            <w:right w:w="108" w:type="dxa"/>
          </w:tblCellMar>
        </w:tblPrEx>
        <w:trPr>
          <w:trHeight w:val="567" w:hRule="atLeast"/>
          <w:jc w:val="center"/>
        </w:trPr>
        <w:tc>
          <w:tcPr>
            <w:tcW w:w="722" w:type="dxa"/>
            <w:tcBorders>
              <w:top w:val="nil"/>
              <w:left w:val="single" w:color="auto" w:sz="4" w:space="0"/>
              <w:bottom w:val="single" w:color="auto" w:sz="4" w:space="0"/>
              <w:right w:val="single" w:color="auto" w:sz="4" w:space="0"/>
            </w:tcBorders>
            <w:shd w:val="clear" w:color="auto" w:fill="auto"/>
            <w:vAlign w:val="center"/>
          </w:tcPr>
          <w:p w14:paraId="53AE5646">
            <w:pPr>
              <w:widowControl/>
              <w:ind w:firstLine="0" w:firstLineChars="0"/>
              <w:jc w:val="center"/>
              <w:rPr>
                <w:rFonts w:eastAsia="宋体"/>
                <w:color w:val="000000"/>
                <w:kern w:val="0"/>
                <w:sz w:val="24"/>
              </w:rPr>
            </w:pPr>
            <w:r>
              <w:rPr>
                <w:rFonts w:eastAsia="宋体"/>
                <w:color w:val="000000"/>
                <w:kern w:val="0"/>
                <w:sz w:val="24"/>
              </w:rPr>
              <w:t>6</w:t>
            </w:r>
          </w:p>
        </w:tc>
        <w:tc>
          <w:tcPr>
            <w:tcW w:w="1379" w:type="dxa"/>
            <w:tcBorders>
              <w:top w:val="nil"/>
              <w:left w:val="nil"/>
              <w:bottom w:val="single" w:color="auto" w:sz="4" w:space="0"/>
              <w:right w:val="single" w:color="auto" w:sz="4" w:space="0"/>
            </w:tcBorders>
            <w:shd w:val="clear" w:color="auto" w:fill="auto"/>
            <w:vAlign w:val="center"/>
          </w:tcPr>
          <w:p w14:paraId="61064A26">
            <w:pPr>
              <w:widowControl/>
              <w:ind w:firstLine="0" w:firstLineChars="0"/>
              <w:jc w:val="center"/>
              <w:rPr>
                <w:rFonts w:ascii="宋体" w:hAnsi="宋体" w:eastAsia="宋体" w:cs="宋体"/>
                <w:color w:val="000000"/>
                <w:kern w:val="0"/>
                <w:sz w:val="24"/>
              </w:rPr>
            </w:pPr>
            <w:r>
              <w:rPr>
                <w:rFonts w:hint="eastAsia" w:ascii="宋体" w:hAnsi="宋体" w:eastAsia="宋体" w:cs="宋体"/>
                <w:color w:val="000000"/>
                <w:kern w:val="0"/>
                <w:sz w:val="24"/>
              </w:rPr>
              <w:t>姜黄</w:t>
            </w:r>
          </w:p>
        </w:tc>
        <w:tc>
          <w:tcPr>
            <w:tcW w:w="1507" w:type="dxa"/>
            <w:tcBorders>
              <w:top w:val="nil"/>
              <w:left w:val="nil"/>
              <w:bottom w:val="single" w:color="auto" w:sz="4" w:space="0"/>
              <w:right w:val="single" w:color="auto" w:sz="4" w:space="0"/>
            </w:tcBorders>
            <w:shd w:val="clear" w:color="auto" w:fill="auto"/>
            <w:vAlign w:val="center"/>
          </w:tcPr>
          <w:p w14:paraId="6F2C5421">
            <w:pPr>
              <w:widowControl/>
              <w:ind w:firstLine="0" w:firstLineChars="0"/>
              <w:jc w:val="center"/>
              <w:rPr>
                <w:rFonts w:eastAsia="宋体"/>
                <w:color w:val="000000"/>
                <w:kern w:val="0"/>
                <w:sz w:val="24"/>
              </w:rPr>
            </w:pPr>
            <w:r>
              <w:rPr>
                <w:rFonts w:eastAsia="宋体"/>
                <w:color w:val="000000"/>
                <w:kern w:val="0"/>
                <w:sz w:val="24"/>
              </w:rPr>
              <w:t>2024101501</w:t>
            </w:r>
          </w:p>
        </w:tc>
        <w:tc>
          <w:tcPr>
            <w:tcW w:w="839" w:type="dxa"/>
            <w:tcBorders>
              <w:top w:val="nil"/>
              <w:left w:val="nil"/>
              <w:bottom w:val="single" w:color="auto" w:sz="4" w:space="0"/>
              <w:right w:val="single" w:color="auto" w:sz="4" w:space="0"/>
            </w:tcBorders>
            <w:shd w:val="clear" w:color="auto" w:fill="auto"/>
            <w:vAlign w:val="center"/>
          </w:tcPr>
          <w:p w14:paraId="6D1FAA60">
            <w:pPr>
              <w:widowControl/>
              <w:ind w:firstLine="0" w:firstLineChars="0"/>
              <w:jc w:val="center"/>
              <w:rPr>
                <w:rFonts w:eastAsia="宋体"/>
                <w:color w:val="000000"/>
                <w:kern w:val="0"/>
                <w:sz w:val="24"/>
              </w:rPr>
            </w:pPr>
            <w:r>
              <w:rPr>
                <w:rFonts w:eastAsia="宋体"/>
                <w:color w:val="000000"/>
                <w:kern w:val="0"/>
                <w:sz w:val="24"/>
              </w:rPr>
              <w:t>1.82</w:t>
            </w:r>
          </w:p>
        </w:tc>
        <w:tc>
          <w:tcPr>
            <w:tcW w:w="850" w:type="dxa"/>
            <w:tcBorders>
              <w:top w:val="nil"/>
              <w:left w:val="nil"/>
              <w:bottom w:val="single" w:color="auto" w:sz="4" w:space="0"/>
              <w:right w:val="single" w:color="auto" w:sz="4" w:space="0"/>
            </w:tcBorders>
            <w:shd w:val="clear" w:color="auto" w:fill="auto"/>
            <w:vAlign w:val="center"/>
          </w:tcPr>
          <w:p w14:paraId="76C85F38">
            <w:pPr>
              <w:widowControl/>
              <w:ind w:firstLine="0" w:firstLineChars="0"/>
              <w:jc w:val="center"/>
              <w:rPr>
                <w:rFonts w:eastAsia="宋体"/>
                <w:color w:val="000000"/>
                <w:kern w:val="0"/>
                <w:sz w:val="24"/>
              </w:rPr>
            </w:pPr>
            <w:r>
              <w:rPr>
                <w:rFonts w:eastAsia="宋体"/>
                <w:color w:val="000000"/>
                <w:kern w:val="0"/>
                <w:sz w:val="24"/>
              </w:rPr>
              <w:t>1.9</w:t>
            </w:r>
            <w:r>
              <w:rPr>
                <w:rFonts w:hint="eastAsia" w:eastAsia="宋体"/>
                <w:color w:val="000000"/>
                <w:kern w:val="0"/>
                <w:sz w:val="24"/>
              </w:rPr>
              <w:t>0</w:t>
            </w:r>
          </w:p>
        </w:tc>
        <w:tc>
          <w:tcPr>
            <w:tcW w:w="811" w:type="dxa"/>
            <w:tcBorders>
              <w:top w:val="nil"/>
              <w:left w:val="nil"/>
              <w:bottom w:val="single" w:color="auto" w:sz="4" w:space="0"/>
              <w:right w:val="single" w:color="auto" w:sz="4" w:space="0"/>
            </w:tcBorders>
            <w:shd w:val="clear" w:color="auto" w:fill="auto"/>
            <w:vAlign w:val="center"/>
          </w:tcPr>
          <w:p w14:paraId="2DCF801E">
            <w:pPr>
              <w:widowControl/>
              <w:ind w:firstLine="0" w:firstLineChars="0"/>
              <w:jc w:val="center"/>
              <w:rPr>
                <w:rFonts w:eastAsia="宋体"/>
                <w:color w:val="000000"/>
                <w:kern w:val="0"/>
                <w:sz w:val="24"/>
              </w:rPr>
            </w:pPr>
            <w:r>
              <w:rPr>
                <w:rFonts w:eastAsia="宋体"/>
                <w:color w:val="000000"/>
                <w:kern w:val="0"/>
                <w:sz w:val="24"/>
              </w:rPr>
              <w:t>1.85</w:t>
            </w:r>
          </w:p>
        </w:tc>
        <w:tc>
          <w:tcPr>
            <w:tcW w:w="851" w:type="dxa"/>
            <w:tcBorders>
              <w:top w:val="nil"/>
              <w:left w:val="nil"/>
              <w:bottom w:val="single" w:color="auto" w:sz="4" w:space="0"/>
              <w:right w:val="single" w:color="auto" w:sz="4" w:space="0"/>
            </w:tcBorders>
            <w:shd w:val="clear" w:color="auto" w:fill="auto"/>
            <w:vAlign w:val="center"/>
          </w:tcPr>
          <w:p w14:paraId="48D5B602">
            <w:pPr>
              <w:widowControl/>
              <w:ind w:firstLine="0" w:firstLineChars="0"/>
              <w:jc w:val="center"/>
              <w:rPr>
                <w:rFonts w:eastAsia="宋体"/>
                <w:color w:val="000000"/>
                <w:kern w:val="0"/>
                <w:sz w:val="24"/>
              </w:rPr>
            </w:pPr>
            <w:r>
              <w:rPr>
                <w:rFonts w:eastAsia="宋体"/>
                <w:color w:val="000000"/>
                <w:kern w:val="0"/>
                <w:sz w:val="24"/>
              </w:rPr>
              <w:t>1.88</w:t>
            </w:r>
          </w:p>
        </w:tc>
        <w:tc>
          <w:tcPr>
            <w:tcW w:w="890" w:type="dxa"/>
            <w:tcBorders>
              <w:top w:val="nil"/>
              <w:left w:val="nil"/>
              <w:bottom w:val="single" w:color="auto" w:sz="4" w:space="0"/>
              <w:right w:val="single" w:color="auto" w:sz="4" w:space="0"/>
            </w:tcBorders>
            <w:shd w:val="clear" w:color="auto" w:fill="auto"/>
            <w:vAlign w:val="center"/>
          </w:tcPr>
          <w:p w14:paraId="6C5454C2">
            <w:pPr>
              <w:widowControl/>
              <w:ind w:firstLine="0" w:firstLineChars="0"/>
              <w:jc w:val="center"/>
              <w:rPr>
                <w:rFonts w:eastAsia="宋体"/>
                <w:color w:val="000000"/>
                <w:kern w:val="0"/>
                <w:sz w:val="24"/>
              </w:rPr>
            </w:pPr>
            <w:r>
              <w:rPr>
                <w:rFonts w:eastAsia="宋体"/>
                <w:color w:val="000000"/>
                <w:kern w:val="0"/>
                <w:sz w:val="24"/>
              </w:rPr>
              <w:t>1.86</w:t>
            </w:r>
          </w:p>
        </w:tc>
        <w:tc>
          <w:tcPr>
            <w:tcW w:w="850" w:type="dxa"/>
            <w:tcBorders>
              <w:top w:val="nil"/>
              <w:left w:val="nil"/>
              <w:bottom w:val="single" w:color="auto" w:sz="4" w:space="0"/>
              <w:right w:val="single" w:color="auto" w:sz="4" w:space="0"/>
            </w:tcBorders>
            <w:shd w:val="clear" w:color="auto" w:fill="auto"/>
            <w:vAlign w:val="center"/>
          </w:tcPr>
          <w:p w14:paraId="1E6BE31F">
            <w:pPr>
              <w:widowControl/>
              <w:ind w:firstLine="0" w:firstLineChars="0"/>
              <w:jc w:val="center"/>
              <w:rPr>
                <w:rFonts w:eastAsia="宋体"/>
                <w:color w:val="000000"/>
                <w:kern w:val="0"/>
                <w:sz w:val="24"/>
              </w:rPr>
            </w:pPr>
            <w:r>
              <w:rPr>
                <w:rFonts w:eastAsia="宋体"/>
                <w:color w:val="000000"/>
                <w:kern w:val="0"/>
                <w:sz w:val="24"/>
              </w:rPr>
              <w:t>1.9</w:t>
            </w:r>
          </w:p>
        </w:tc>
      </w:tr>
      <w:tr w14:paraId="75650701">
        <w:tblPrEx>
          <w:tblCellMar>
            <w:top w:w="0" w:type="dxa"/>
            <w:left w:w="108" w:type="dxa"/>
            <w:bottom w:w="0" w:type="dxa"/>
            <w:right w:w="108" w:type="dxa"/>
          </w:tblCellMar>
        </w:tblPrEx>
        <w:trPr>
          <w:trHeight w:val="567" w:hRule="atLeast"/>
          <w:jc w:val="center"/>
        </w:trPr>
        <w:tc>
          <w:tcPr>
            <w:tcW w:w="722" w:type="dxa"/>
            <w:tcBorders>
              <w:top w:val="nil"/>
              <w:left w:val="single" w:color="auto" w:sz="4" w:space="0"/>
              <w:bottom w:val="single" w:color="auto" w:sz="4" w:space="0"/>
              <w:right w:val="single" w:color="auto" w:sz="4" w:space="0"/>
            </w:tcBorders>
            <w:shd w:val="clear" w:color="auto" w:fill="auto"/>
            <w:vAlign w:val="center"/>
          </w:tcPr>
          <w:p w14:paraId="2381DB0C">
            <w:pPr>
              <w:widowControl/>
              <w:ind w:firstLine="0" w:firstLineChars="0"/>
              <w:jc w:val="center"/>
              <w:rPr>
                <w:rFonts w:eastAsia="宋体"/>
                <w:color w:val="000000"/>
                <w:kern w:val="0"/>
                <w:sz w:val="24"/>
              </w:rPr>
            </w:pPr>
            <w:r>
              <w:rPr>
                <w:rFonts w:eastAsia="宋体"/>
                <w:color w:val="000000"/>
                <w:kern w:val="0"/>
                <w:sz w:val="24"/>
              </w:rPr>
              <w:t>7</w:t>
            </w:r>
          </w:p>
        </w:tc>
        <w:tc>
          <w:tcPr>
            <w:tcW w:w="1379" w:type="dxa"/>
            <w:tcBorders>
              <w:top w:val="nil"/>
              <w:left w:val="nil"/>
              <w:bottom w:val="single" w:color="auto" w:sz="4" w:space="0"/>
              <w:right w:val="single" w:color="auto" w:sz="4" w:space="0"/>
            </w:tcBorders>
            <w:shd w:val="clear" w:color="auto" w:fill="auto"/>
            <w:vAlign w:val="center"/>
          </w:tcPr>
          <w:p w14:paraId="6A935ACA">
            <w:pPr>
              <w:widowControl/>
              <w:ind w:firstLine="0" w:firstLineChars="0"/>
              <w:jc w:val="center"/>
              <w:rPr>
                <w:rFonts w:ascii="宋体" w:hAnsi="宋体" w:eastAsia="宋体" w:cs="宋体"/>
                <w:color w:val="000000"/>
                <w:kern w:val="0"/>
                <w:sz w:val="24"/>
              </w:rPr>
            </w:pPr>
            <w:r>
              <w:rPr>
                <w:rFonts w:hint="eastAsia" w:ascii="宋体" w:hAnsi="宋体" w:eastAsia="宋体" w:cs="宋体"/>
                <w:color w:val="000000"/>
                <w:kern w:val="0"/>
                <w:sz w:val="24"/>
              </w:rPr>
              <w:t>姜黄制品（姜黄粉）</w:t>
            </w:r>
          </w:p>
        </w:tc>
        <w:tc>
          <w:tcPr>
            <w:tcW w:w="1507" w:type="dxa"/>
            <w:tcBorders>
              <w:top w:val="nil"/>
              <w:left w:val="nil"/>
              <w:bottom w:val="single" w:color="auto" w:sz="4" w:space="0"/>
              <w:right w:val="single" w:color="auto" w:sz="4" w:space="0"/>
            </w:tcBorders>
            <w:shd w:val="clear" w:color="auto" w:fill="auto"/>
            <w:vAlign w:val="center"/>
          </w:tcPr>
          <w:p w14:paraId="192F0F10">
            <w:pPr>
              <w:widowControl/>
              <w:ind w:firstLine="0" w:firstLineChars="0"/>
              <w:jc w:val="center"/>
              <w:rPr>
                <w:rFonts w:eastAsia="宋体"/>
                <w:color w:val="000000"/>
                <w:kern w:val="0"/>
                <w:sz w:val="24"/>
              </w:rPr>
            </w:pPr>
            <w:r>
              <w:rPr>
                <w:rFonts w:eastAsia="宋体"/>
                <w:color w:val="000000"/>
                <w:kern w:val="0"/>
                <w:sz w:val="24"/>
              </w:rPr>
              <w:t>2023050902</w:t>
            </w:r>
          </w:p>
        </w:tc>
        <w:tc>
          <w:tcPr>
            <w:tcW w:w="839" w:type="dxa"/>
            <w:tcBorders>
              <w:top w:val="nil"/>
              <w:left w:val="nil"/>
              <w:bottom w:val="single" w:color="auto" w:sz="4" w:space="0"/>
              <w:right w:val="single" w:color="auto" w:sz="4" w:space="0"/>
            </w:tcBorders>
            <w:shd w:val="clear" w:color="auto" w:fill="auto"/>
            <w:vAlign w:val="center"/>
          </w:tcPr>
          <w:p w14:paraId="11AF2CC3">
            <w:pPr>
              <w:widowControl/>
              <w:ind w:firstLine="0" w:firstLineChars="0"/>
              <w:jc w:val="center"/>
              <w:rPr>
                <w:rFonts w:eastAsia="宋体"/>
                <w:color w:val="000000"/>
                <w:kern w:val="0"/>
                <w:sz w:val="24"/>
              </w:rPr>
            </w:pPr>
            <w:r>
              <w:rPr>
                <w:rFonts w:eastAsia="宋体"/>
                <w:color w:val="000000"/>
                <w:kern w:val="0"/>
                <w:sz w:val="24"/>
              </w:rPr>
              <w:t>1.13</w:t>
            </w:r>
          </w:p>
        </w:tc>
        <w:tc>
          <w:tcPr>
            <w:tcW w:w="850" w:type="dxa"/>
            <w:tcBorders>
              <w:top w:val="nil"/>
              <w:left w:val="nil"/>
              <w:bottom w:val="single" w:color="auto" w:sz="4" w:space="0"/>
              <w:right w:val="single" w:color="auto" w:sz="4" w:space="0"/>
            </w:tcBorders>
            <w:shd w:val="clear" w:color="auto" w:fill="auto"/>
            <w:vAlign w:val="center"/>
          </w:tcPr>
          <w:p w14:paraId="65D32661">
            <w:pPr>
              <w:widowControl/>
              <w:ind w:firstLine="0" w:firstLineChars="0"/>
              <w:jc w:val="center"/>
              <w:rPr>
                <w:rFonts w:eastAsia="宋体"/>
                <w:color w:val="000000"/>
                <w:kern w:val="0"/>
                <w:sz w:val="24"/>
              </w:rPr>
            </w:pPr>
            <w:r>
              <w:rPr>
                <w:rFonts w:eastAsia="宋体"/>
                <w:color w:val="000000"/>
                <w:kern w:val="0"/>
                <w:sz w:val="24"/>
              </w:rPr>
              <w:t>1.14</w:t>
            </w:r>
          </w:p>
        </w:tc>
        <w:tc>
          <w:tcPr>
            <w:tcW w:w="811" w:type="dxa"/>
            <w:tcBorders>
              <w:top w:val="nil"/>
              <w:left w:val="nil"/>
              <w:bottom w:val="single" w:color="auto" w:sz="4" w:space="0"/>
              <w:right w:val="single" w:color="auto" w:sz="4" w:space="0"/>
            </w:tcBorders>
            <w:shd w:val="clear" w:color="auto" w:fill="auto"/>
            <w:vAlign w:val="center"/>
          </w:tcPr>
          <w:p w14:paraId="1FE12BA7">
            <w:pPr>
              <w:widowControl/>
              <w:ind w:firstLine="0" w:firstLineChars="0"/>
              <w:jc w:val="center"/>
              <w:rPr>
                <w:rFonts w:eastAsia="宋体"/>
                <w:color w:val="000000"/>
                <w:kern w:val="0"/>
                <w:sz w:val="24"/>
              </w:rPr>
            </w:pPr>
            <w:r>
              <w:rPr>
                <w:rFonts w:eastAsia="宋体"/>
                <w:color w:val="000000"/>
                <w:kern w:val="0"/>
                <w:sz w:val="24"/>
              </w:rPr>
              <w:t>1.18</w:t>
            </w:r>
          </w:p>
        </w:tc>
        <w:tc>
          <w:tcPr>
            <w:tcW w:w="851" w:type="dxa"/>
            <w:tcBorders>
              <w:top w:val="nil"/>
              <w:left w:val="nil"/>
              <w:bottom w:val="single" w:color="auto" w:sz="4" w:space="0"/>
              <w:right w:val="single" w:color="auto" w:sz="4" w:space="0"/>
            </w:tcBorders>
            <w:shd w:val="clear" w:color="auto" w:fill="auto"/>
            <w:vAlign w:val="center"/>
          </w:tcPr>
          <w:p w14:paraId="7F0EBF02">
            <w:pPr>
              <w:widowControl/>
              <w:ind w:firstLine="0" w:firstLineChars="0"/>
              <w:jc w:val="center"/>
              <w:rPr>
                <w:rFonts w:eastAsia="宋体"/>
                <w:color w:val="000000"/>
                <w:kern w:val="0"/>
                <w:sz w:val="24"/>
              </w:rPr>
            </w:pPr>
            <w:r>
              <w:rPr>
                <w:rFonts w:eastAsia="宋体"/>
                <w:color w:val="000000"/>
                <w:kern w:val="0"/>
                <w:sz w:val="24"/>
              </w:rPr>
              <w:t>1.14</w:t>
            </w:r>
          </w:p>
        </w:tc>
        <w:tc>
          <w:tcPr>
            <w:tcW w:w="890" w:type="dxa"/>
            <w:tcBorders>
              <w:top w:val="nil"/>
              <w:left w:val="nil"/>
              <w:bottom w:val="single" w:color="auto" w:sz="4" w:space="0"/>
              <w:right w:val="single" w:color="auto" w:sz="4" w:space="0"/>
            </w:tcBorders>
            <w:shd w:val="clear" w:color="auto" w:fill="auto"/>
            <w:vAlign w:val="center"/>
          </w:tcPr>
          <w:p w14:paraId="0D2D3A7B">
            <w:pPr>
              <w:widowControl/>
              <w:ind w:firstLine="0" w:firstLineChars="0"/>
              <w:jc w:val="center"/>
              <w:rPr>
                <w:rFonts w:eastAsia="宋体"/>
                <w:color w:val="000000"/>
                <w:kern w:val="0"/>
                <w:sz w:val="24"/>
              </w:rPr>
            </w:pPr>
            <w:r>
              <w:rPr>
                <w:rFonts w:eastAsia="宋体"/>
                <w:color w:val="000000"/>
                <w:kern w:val="0"/>
                <w:sz w:val="24"/>
              </w:rPr>
              <w:t>1.15</w:t>
            </w:r>
          </w:p>
        </w:tc>
        <w:tc>
          <w:tcPr>
            <w:tcW w:w="850" w:type="dxa"/>
            <w:tcBorders>
              <w:top w:val="nil"/>
              <w:left w:val="nil"/>
              <w:bottom w:val="single" w:color="auto" w:sz="4" w:space="0"/>
              <w:right w:val="single" w:color="auto" w:sz="4" w:space="0"/>
            </w:tcBorders>
            <w:shd w:val="clear" w:color="auto" w:fill="auto"/>
            <w:vAlign w:val="center"/>
          </w:tcPr>
          <w:p w14:paraId="509AD69D">
            <w:pPr>
              <w:widowControl/>
              <w:ind w:firstLine="0" w:firstLineChars="0"/>
              <w:jc w:val="center"/>
              <w:rPr>
                <w:rFonts w:eastAsia="宋体"/>
                <w:color w:val="000000"/>
                <w:kern w:val="0"/>
                <w:sz w:val="24"/>
              </w:rPr>
            </w:pPr>
            <w:r>
              <w:rPr>
                <w:rFonts w:eastAsia="宋体"/>
                <w:color w:val="000000"/>
                <w:kern w:val="0"/>
                <w:sz w:val="24"/>
              </w:rPr>
              <w:t>1.9</w:t>
            </w:r>
          </w:p>
        </w:tc>
      </w:tr>
      <w:tr w14:paraId="53463140">
        <w:tblPrEx>
          <w:tblCellMar>
            <w:top w:w="0" w:type="dxa"/>
            <w:left w:w="108" w:type="dxa"/>
            <w:bottom w:w="0" w:type="dxa"/>
            <w:right w:w="108" w:type="dxa"/>
          </w:tblCellMar>
        </w:tblPrEx>
        <w:trPr>
          <w:trHeight w:val="567" w:hRule="atLeast"/>
          <w:jc w:val="center"/>
        </w:trPr>
        <w:tc>
          <w:tcPr>
            <w:tcW w:w="722" w:type="dxa"/>
            <w:tcBorders>
              <w:top w:val="nil"/>
              <w:left w:val="single" w:color="auto" w:sz="4" w:space="0"/>
              <w:bottom w:val="single" w:color="auto" w:sz="4" w:space="0"/>
              <w:right w:val="single" w:color="auto" w:sz="4" w:space="0"/>
            </w:tcBorders>
            <w:shd w:val="clear" w:color="auto" w:fill="auto"/>
            <w:vAlign w:val="center"/>
          </w:tcPr>
          <w:p w14:paraId="59929A52">
            <w:pPr>
              <w:widowControl/>
              <w:ind w:firstLine="0" w:firstLineChars="0"/>
              <w:jc w:val="center"/>
              <w:rPr>
                <w:rFonts w:eastAsia="宋体"/>
                <w:color w:val="000000"/>
                <w:kern w:val="0"/>
                <w:sz w:val="24"/>
              </w:rPr>
            </w:pPr>
            <w:r>
              <w:rPr>
                <w:rFonts w:eastAsia="宋体"/>
                <w:color w:val="000000"/>
                <w:kern w:val="0"/>
                <w:sz w:val="24"/>
              </w:rPr>
              <w:t>8</w:t>
            </w:r>
          </w:p>
        </w:tc>
        <w:tc>
          <w:tcPr>
            <w:tcW w:w="1379" w:type="dxa"/>
            <w:tcBorders>
              <w:top w:val="nil"/>
              <w:left w:val="nil"/>
              <w:bottom w:val="single" w:color="auto" w:sz="4" w:space="0"/>
              <w:right w:val="single" w:color="auto" w:sz="4" w:space="0"/>
            </w:tcBorders>
            <w:shd w:val="clear" w:color="auto" w:fill="auto"/>
            <w:vAlign w:val="center"/>
          </w:tcPr>
          <w:p w14:paraId="215F3481">
            <w:pPr>
              <w:widowControl/>
              <w:ind w:firstLine="0" w:firstLineChars="0"/>
              <w:jc w:val="center"/>
              <w:rPr>
                <w:rFonts w:ascii="宋体" w:hAnsi="宋体" w:eastAsia="宋体" w:cs="宋体"/>
                <w:color w:val="000000"/>
                <w:kern w:val="0"/>
                <w:sz w:val="24"/>
              </w:rPr>
            </w:pPr>
            <w:r>
              <w:rPr>
                <w:rFonts w:hint="eastAsia" w:ascii="宋体" w:hAnsi="宋体" w:eastAsia="宋体" w:cs="宋体"/>
                <w:color w:val="000000"/>
                <w:kern w:val="0"/>
                <w:sz w:val="24"/>
              </w:rPr>
              <w:t>姜黄制品（姜黄粉）</w:t>
            </w:r>
          </w:p>
        </w:tc>
        <w:tc>
          <w:tcPr>
            <w:tcW w:w="1507" w:type="dxa"/>
            <w:tcBorders>
              <w:top w:val="nil"/>
              <w:left w:val="nil"/>
              <w:bottom w:val="single" w:color="auto" w:sz="4" w:space="0"/>
              <w:right w:val="single" w:color="auto" w:sz="4" w:space="0"/>
            </w:tcBorders>
            <w:shd w:val="clear" w:color="auto" w:fill="auto"/>
            <w:vAlign w:val="center"/>
          </w:tcPr>
          <w:p w14:paraId="7C49DE2E">
            <w:pPr>
              <w:widowControl/>
              <w:ind w:firstLine="0" w:firstLineChars="0"/>
              <w:jc w:val="center"/>
              <w:rPr>
                <w:rFonts w:eastAsia="宋体"/>
                <w:color w:val="000000"/>
                <w:kern w:val="0"/>
                <w:sz w:val="24"/>
              </w:rPr>
            </w:pPr>
            <w:r>
              <w:rPr>
                <w:rFonts w:eastAsia="宋体"/>
                <w:color w:val="000000"/>
                <w:kern w:val="0"/>
                <w:sz w:val="24"/>
              </w:rPr>
              <w:t>2024071701</w:t>
            </w:r>
          </w:p>
        </w:tc>
        <w:tc>
          <w:tcPr>
            <w:tcW w:w="839" w:type="dxa"/>
            <w:tcBorders>
              <w:top w:val="nil"/>
              <w:left w:val="nil"/>
              <w:bottom w:val="single" w:color="auto" w:sz="4" w:space="0"/>
              <w:right w:val="single" w:color="auto" w:sz="4" w:space="0"/>
            </w:tcBorders>
            <w:shd w:val="clear" w:color="auto" w:fill="auto"/>
            <w:vAlign w:val="center"/>
          </w:tcPr>
          <w:p w14:paraId="3FDF007F">
            <w:pPr>
              <w:widowControl/>
              <w:ind w:firstLine="0" w:firstLineChars="0"/>
              <w:jc w:val="center"/>
              <w:rPr>
                <w:rFonts w:eastAsia="宋体"/>
                <w:color w:val="000000"/>
                <w:kern w:val="0"/>
                <w:sz w:val="24"/>
              </w:rPr>
            </w:pPr>
            <w:r>
              <w:rPr>
                <w:rFonts w:eastAsia="宋体"/>
                <w:color w:val="000000"/>
                <w:kern w:val="0"/>
                <w:sz w:val="24"/>
              </w:rPr>
              <w:t>1.97</w:t>
            </w:r>
          </w:p>
        </w:tc>
        <w:tc>
          <w:tcPr>
            <w:tcW w:w="850" w:type="dxa"/>
            <w:tcBorders>
              <w:top w:val="nil"/>
              <w:left w:val="nil"/>
              <w:bottom w:val="single" w:color="auto" w:sz="4" w:space="0"/>
              <w:right w:val="single" w:color="auto" w:sz="4" w:space="0"/>
            </w:tcBorders>
            <w:shd w:val="clear" w:color="auto" w:fill="auto"/>
            <w:vAlign w:val="center"/>
          </w:tcPr>
          <w:p w14:paraId="23F91226">
            <w:pPr>
              <w:widowControl/>
              <w:ind w:firstLine="0" w:firstLineChars="0"/>
              <w:jc w:val="center"/>
              <w:rPr>
                <w:rFonts w:eastAsia="宋体"/>
                <w:color w:val="000000"/>
                <w:kern w:val="0"/>
                <w:sz w:val="24"/>
              </w:rPr>
            </w:pPr>
            <w:r>
              <w:rPr>
                <w:rFonts w:eastAsia="宋体"/>
                <w:color w:val="000000"/>
                <w:kern w:val="0"/>
                <w:sz w:val="24"/>
              </w:rPr>
              <w:t>2.01</w:t>
            </w:r>
          </w:p>
        </w:tc>
        <w:tc>
          <w:tcPr>
            <w:tcW w:w="811" w:type="dxa"/>
            <w:tcBorders>
              <w:top w:val="nil"/>
              <w:left w:val="nil"/>
              <w:bottom w:val="single" w:color="auto" w:sz="4" w:space="0"/>
              <w:right w:val="single" w:color="auto" w:sz="4" w:space="0"/>
            </w:tcBorders>
            <w:shd w:val="clear" w:color="auto" w:fill="auto"/>
            <w:vAlign w:val="center"/>
          </w:tcPr>
          <w:p w14:paraId="2840CCF0">
            <w:pPr>
              <w:widowControl/>
              <w:ind w:firstLine="0" w:firstLineChars="0"/>
              <w:jc w:val="center"/>
              <w:rPr>
                <w:rFonts w:eastAsia="宋体"/>
                <w:color w:val="000000"/>
                <w:kern w:val="0"/>
                <w:sz w:val="24"/>
              </w:rPr>
            </w:pPr>
            <w:r>
              <w:rPr>
                <w:rFonts w:eastAsia="宋体"/>
                <w:color w:val="000000"/>
                <w:kern w:val="0"/>
                <w:sz w:val="24"/>
              </w:rPr>
              <w:t>1.98</w:t>
            </w:r>
          </w:p>
        </w:tc>
        <w:tc>
          <w:tcPr>
            <w:tcW w:w="851" w:type="dxa"/>
            <w:tcBorders>
              <w:top w:val="nil"/>
              <w:left w:val="nil"/>
              <w:bottom w:val="single" w:color="auto" w:sz="4" w:space="0"/>
              <w:right w:val="single" w:color="auto" w:sz="4" w:space="0"/>
            </w:tcBorders>
            <w:shd w:val="clear" w:color="auto" w:fill="auto"/>
            <w:vAlign w:val="center"/>
          </w:tcPr>
          <w:p w14:paraId="5FA3E420">
            <w:pPr>
              <w:widowControl/>
              <w:ind w:firstLine="0" w:firstLineChars="0"/>
              <w:jc w:val="center"/>
              <w:rPr>
                <w:rFonts w:eastAsia="宋体"/>
                <w:color w:val="000000"/>
                <w:kern w:val="0"/>
                <w:sz w:val="24"/>
              </w:rPr>
            </w:pPr>
            <w:r>
              <w:rPr>
                <w:rFonts w:eastAsia="宋体"/>
                <w:color w:val="000000"/>
                <w:kern w:val="0"/>
                <w:sz w:val="24"/>
              </w:rPr>
              <w:t>1.97</w:t>
            </w:r>
          </w:p>
        </w:tc>
        <w:tc>
          <w:tcPr>
            <w:tcW w:w="890" w:type="dxa"/>
            <w:tcBorders>
              <w:top w:val="nil"/>
              <w:left w:val="nil"/>
              <w:bottom w:val="single" w:color="auto" w:sz="4" w:space="0"/>
              <w:right w:val="single" w:color="auto" w:sz="4" w:space="0"/>
            </w:tcBorders>
            <w:shd w:val="clear" w:color="auto" w:fill="auto"/>
            <w:vAlign w:val="center"/>
          </w:tcPr>
          <w:p w14:paraId="3C4A266C">
            <w:pPr>
              <w:widowControl/>
              <w:ind w:firstLine="0" w:firstLineChars="0"/>
              <w:jc w:val="center"/>
              <w:rPr>
                <w:rFonts w:eastAsia="宋体"/>
                <w:color w:val="000000"/>
                <w:kern w:val="0"/>
                <w:sz w:val="24"/>
              </w:rPr>
            </w:pPr>
            <w:r>
              <w:rPr>
                <w:rFonts w:eastAsia="宋体"/>
                <w:color w:val="000000"/>
                <w:kern w:val="0"/>
                <w:sz w:val="24"/>
              </w:rPr>
              <w:t>1.98</w:t>
            </w:r>
          </w:p>
        </w:tc>
        <w:tc>
          <w:tcPr>
            <w:tcW w:w="850" w:type="dxa"/>
            <w:tcBorders>
              <w:top w:val="nil"/>
              <w:left w:val="nil"/>
              <w:bottom w:val="single" w:color="auto" w:sz="4" w:space="0"/>
              <w:right w:val="single" w:color="auto" w:sz="4" w:space="0"/>
            </w:tcBorders>
            <w:shd w:val="clear" w:color="auto" w:fill="auto"/>
            <w:vAlign w:val="center"/>
          </w:tcPr>
          <w:p w14:paraId="419E31E0">
            <w:pPr>
              <w:widowControl/>
              <w:ind w:firstLine="0" w:firstLineChars="0"/>
              <w:jc w:val="center"/>
              <w:rPr>
                <w:rFonts w:eastAsia="宋体"/>
                <w:color w:val="000000"/>
                <w:kern w:val="0"/>
                <w:sz w:val="24"/>
              </w:rPr>
            </w:pPr>
            <w:r>
              <w:rPr>
                <w:rFonts w:eastAsia="宋体"/>
                <w:color w:val="000000"/>
                <w:kern w:val="0"/>
                <w:sz w:val="24"/>
              </w:rPr>
              <w:t>1.0</w:t>
            </w:r>
          </w:p>
        </w:tc>
      </w:tr>
      <w:tr w14:paraId="23B80E1D">
        <w:tblPrEx>
          <w:tblCellMar>
            <w:top w:w="0" w:type="dxa"/>
            <w:left w:w="108" w:type="dxa"/>
            <w:bottom w:w="0" w:type="dxa"/>
            <w:right w:w="108" w:type="dxa"/>
          </w:tblCellMar>
        </w:tblPrEx>
        <w:trPr>
          <w:trHeight w:val="567" w:hRule="atLeast"/>
          <w:jc w:val="center"/>
        </w:trPr>
        <w:tc>
          <w:tcPr>
            <w:tcW w:w="722" w:type="dxa"/>
            <w:tcBorders>
              <w:top w:val="nil"/>
              <w:left w:val="single" w:color="auto" w:sz="4" w:space="0"/>
              <w:bottom w:val="single" w:color="auto" w:sz="4" w:space="0"/>
              <w:right w:val="single" w:color="auto" w:sz="4" w:space="0"/>
            </w:tcBorders>
            <w:shd w:val="clear" w:color="auto" w:fill="auto"/>
            <w:vAlign w:val="center"/>
          </w:tcPr>
          <w:p w14:paraId="338D087D">
            <w:pPr>
              <w:widowControl/>
              <w:ind w:firstLine="0" w:firstLineChars="0"/>
              <w:jc w:val="center"/>
              <w:rPr>
                <w:rFonts w:eastAsia="宋体"/>
                <w:color w:val="000000"/>
                <w:kern w:val="0"/>
                <w:sz w:val="24"/>
              </w:rPr>
            </w:pPr>
            <w:r>
              <w:rPr>
                <w:rFonts w:eastAsia="宋体"/>
                <w:color w:val="000000"/>
                <w:kern w:val="0"/>
                <w:sz w:val="24"/>
              </w:rPr>
              <w:t>9</w:t>
            </w:r>
          </w:p>
        </w:tc>
        <w:tc>
          <w:tcPr>
            <w:tcW w:w="1379" w:type="dxa"/>
            <w:tcBorders>
              <w:top w:val="nil"/>
              <w:left w:val="nil"/>
              <w:bottom w:val="single" w:color="auto" w:sz="4" w:space="0"/>
              <w:right w:val="single" w:color="auto" w:sz="4" w:space="0"/>
            </w:tcBorders>
            <w:shd w:val="clear" w:color="auto" w:fill="auto"/>
            <w:vAlign w:val="center"/>
          </w:tcPr>
          <w:p w14:paraId="202EAB1C">
            <w:pPr>
              <w:widowControl/>
              <w:ind w:firstLine="0" w:firstLineChars="0"/>
              <w:jc w:val="center"/>
              <w:rPr>
                <w:rFonts w:ascii="宋体" w:hAnsi="宋体" w:eastAsia="宋体" w:cs="宋体"/>
                <w:color w:val="000000"/>
                <w:kern w:val="0"/>
                <w:sz w:val="24"/>
              </w:rPr>
            </w:pPr>
            <w:r>
              <w:rPr>
                <w:rFonts w:hint="eastAsia" w:ascii="宋体" w:hAnsi="宋体" w:eastAsia="宋体" w:cs="宋体"/>
                <w:color w:val="000000"/>
                <w:kern w:val="0"/>
                <w:sz w:val="24"/>
              </w:rPr>
              <w:t>姜黄制品（姜黄粉）</w:t>
            </w:r>
          </w:p>
        </w:tc>
        <w:tc>
          <w:tcPr>
            <w:tcW w:w="1507" w:type="dxa"/>
            <w:tcBorders>
              <w:top w:val="nil"/>
              <w:left w:val="nil"/>
              <w:bottom w:val="single" w:color="auto" w:sz="4" w:space="0"/>
              <w:right w:val="single" w:color="auto" w:sz="4" w:space="0"/>
            </w:tcBorders>
            <w:shd w:val="clear" w:color="auto" w:fill="auto"/>
            <w:vAlign w:val="center"/>
          </w:tcPr>
          <w:p w14:paraId="2B4132EA">
            <w:pPr>
              <w:widowControl/>
              <w:ind w:firstLine="0" w:firstLineChars="0"/>
              <w:jc w:val="center"/>
              <w:rPr>
                <w:rFonts w:eastAsia="宋体"/>
                <w:color w:val="000000"/>
                <w:kern w:val="0"/>
                <w:sz w:val="24"/>
              </w:rPr>
            </w:pPr>
            <w:r>
              <w:rPr>
                <w:rFonts w:eastAsia="宋体"/>
                <w:color w:val="000000"/>
                <w:kern w:val="0"/>
                <w:sz w:val="24"/>
              </w:rPr>
              <w:t>BXH20230801-04</w:t>
            </w:r>
          </w:p>
        </w:tc>
        <w:tc>
          <w:tcPr>
            <w:tcW w:w="839" w:type="dxa"/>
            <w:tcBorders>
              <w:top w:val="nil"/>
              <w:left w:val="nil"/>
              <w:bottom w:val="single" w:color="auto" w:sz="4" w:space="0"/>
              <w:right w:val="single" w:color="auto" w:sz="4" w:space="0"/>
            </w:tcBorders>
            <w:shd w:val="clear" w:color="auto" w:fill="auto"/>
            <w:vAlign w:val="center"/>
          </w:tcPr>
          <w:p w14:paraId="08FE030B">
            <w:pPr>
              <w:widowControl/>
              <w:ind w:firstLine="0" w:firstLineChars="0"/>
              <w:jc w:val="center"/>
              <w:rPr>
                <w:rFonts w:eastAsia="宋体"/>
                <w:color w:val="000000"/>
                <w:kern w:val="0"/>
                <w:sz w:val="24"/>
              </w:rPr>
            </w:pPr>
            <w:r>
              <w:rPr>
                <w:rFonts w:eastAsia="宋体"/>
                <w:color w:val="000000"/>
                <w:kern w:val="0"/>
                <w:sz w:val="24"/>
              </w:rPr>
              <w:t>2.03</w:t>
            </w:r>
          </w:p>
        </w:tc>
        <w:tc>
          <w:tcPr>
            <w:tcW w:w="850" w:type="dxa"/>
            <w:tcBorders>
              <w:top w:val="nil"/>
              <w:left w:val="nil"/>
              <w:bottom w:val="single" w:color="auto" w:sz="4" w:space="0"/>
              <w:right w:val="single" w:color="auto" w:sz="4" w:space="0"/>
            </w:tcBorders>
            <w:shd w:val="clear" w:color="auto" w:fill="auto"/>
            <w:vAlign w:val="center"/>
          </w:tcPr>
          <w:p w14:paraId="18B8CB44">
            <w:pPr>
              <w:widowControl/>
              <w:ind w:firstLine="0" w:firstLineChars="0"/>
              <w:jc w:val="center"/>
              <w:rPr>
                <w:rFonts w:eastAsia="宋体"/>
                <w:color w:val="000000"/>
                <w:kern w:val="0"/>
                <w:sz w:val="24"/>
              </w:rPr>
            </w:pPr>
            <w:r>
              <w:rPr>
                <w:rFonts w:eastAsia="宋体"/>
                <w:color w:val="000000"/>
                <w:kern w:val="0"/>
                <w:sz w:val="24"/>
              </w:rPr>
              <w:t>2.14</w:t>
            </w:r>
          </w:p>
        </w:tc>
        <w:tc>
          <w:tcPr>
            <w:tcW w:w="811" w:type="dxa"/>
            <w:tcBorders>
              <w:top w:val="nil"/>
              <w:left w:val="nil"/>
              <w:bottom w:val="single" w:color="auto" w:sz="4" w:space="0"/>
              <w:right w:val="single" w:color="auto" w:sz="4" w:space="0"/>
            </w:tcBorders>
            <w:shd w:val="clear" w:color="auto" w:fill="auto"/>
            <w:vAlign w:val="center"/>
          </w:tcPr>
          <w:p w14:paraId="730AE58C">
            <w:pPr>
              <w:widowControl/>
              <w:ind w:firstLine="0" w:firstLineChars="0"/>
              <w:jc w:val="center"/>
              <w:rPr>
                <w:rFonts w:eastAsia="宋体"/>
                <w:color w:val="000000"/>
                <w:kern w:val="0"/>
                <w:sz w:val="24"/>
              </w:rPr>
            </w:pPr>
            <w:r>
              <w:rPr>
                <w:rFonts w:eastAsia="宋体"/>
                <w:color w:val="000000"/>
                <w:kern w:val="0"/>
                <w:sz w:val="24"/>
              </w:rPr>
              <w:t>2.12</w:t>
            </w:r>
          </w:p>
        </w:tc>
        <w:tc>
          <w:tcPr>
            <w:tcW w:w="851" w:type="dxa"/>
            <w:tcBorders>
              <w:top w:val="nil"/>
              <w:left w:val="nil"/>
              <w:bottom w:val="single" w:color="auto" w:sz="4" w:space="0"/>
              <w:right w:val="single" w:color="auto" w:sz="4" w:space="0"/>
            </w:tcBorders>
            <w:shd w:val="clear" w:color="auto" w:fill="auto"/>
            <w:vAlign w:val="center"/>
          </w:tcPr>
          <w:p w14:paraId="050E963E">
            <w:pPr>
              <w:widowControl/>
              <w:ind w:firstLine="0" w:firstLineChars="0"/>
              <w:jc w:val="center"/>
              <w:rPr>
                <w:rFonts w:eastAsia="宋体"/>
                <w:color w:val="000000"/>
                <w:kern w:val="0"/>
                <w:sz w:val="24"/>
              </w:rPr>
            </w:pPr>
            <w:r>
              <w:rPr>
                <w:rFonts w:eastAsia="宋体"/>
                <w:color w:val="000000"/>
                <w:kern w:val="0"/>
                <w:sz w:val="24"/>
              </w:rPr>
              <w:t>2.06</w:t>
            </w:r>
          </w:p>
        </w:tc>
        <w:tc>
          <w:tcPr>
            <w:tcW w:w="890" w:type="dxa"/>
            <w:tcBorders>
              <w:top w:val="nil"/>
              <w:left w:val="nil"/>
              <w:bottom w:val="single" w:color="auto" w:sz="4" w:space="0"/>
              <w:right w:val="single" w:color="auto" w:sz="4" w:space="0"/>
            </w:tcBorders>
            <w:shd w:val="clear" w:color="auto" w:fill="auto"/>
            <w:vAlign w:val="center"/>
          </w:tcPr>
          <w:p w14:paraId="6C6ADA5F">
            <w:pPr>
              <w:widowControl/>
              <w:ind w:firstLine="0" w:firstLineChars="0"/>
              <w:jc w:val="center"/>
              <w:rPr>
                <w:rFonts w:eastAsia="宋体"/>
                <w:color w:val="000000"/>
                <w:kern w:val="0"/>
                <w:sz w:val="24"/>
              </w:rPr>
            </w:pPr>
            <w:r>
              <w:rPr>
                <w:rFonts w:eastAsia="宋体"/>
                <w:color w:val="000000"/>
                <w:kern w:val="0"/>
                <w:sz w:val="24"/>
              </w:rPr>
              <w:t>2.09</w:t>
            </w:r>
          </w:p>
        </w:tc>
        <w:tc>
          <w:tcPr>
            <w:tcW w:w="850" w:type="dxa"/>
            <w:tcBorders>
              <w:top w:val="nil"/>
              <w:left w:val="nil"/>
              <w:bottom w:val="single" w:color="auto" w:sz="4" w:space="0"/>
              <w:right w:val="single" w:color="auto" w:sz="4" w:space="0"/>
            </w:tcBorders>
            <w:shd w:val="clear" w:color="auto" w:fill="auto"/>
            <w:vAlign w:val="center"/>
          </w:tcPr>
          <w:p w14:paraId="2B9F4F8B">
            <w:pPr>
              <w:widowControl/>
              <w:ind w:firstLine="0" w:firstLineChars="0"/>
              <w:jc w:val="center"/>
              <w:rPr>
                <w:rFonts w:eastAsia="宋体"/>
                <w:color w:val="000000"/>
                <w:kern w:val="0"/>
                <w:sz w:val="24"/>
              </w:rPr>
            </w:pPr>
            <w:r>
              <w:rPr>
                <w:rFonts w:eastAsia="宋体"/>
                <w:color w:val="000000"/>
                <w:kern w:val="0"/>
                <w:sz w:val="24"/>
              </w:rPr>
              <w:t>2.5</w:t>
            </w:r>
          </w:p>
        </w:tc>
      </w:tr>
      <w:tr w14:paraId="791DCD50">
        <w:tblPrEx>
          <w:tblCellMar>
            <w:top w:w="0" w:type="dxa"/>
            <w:left w:w="108" w:type="dxa"/>
            <w:bottom w:w="0" w:type="dxa"/>
            <w:right w:w="108" w:type="dxa"/>
          </w:tblCellMar>
        </w:tblPrEx>
        <w:trPr>
          <w:trHeight w:val="567" w:hRule="atLeast"/>
          <w:jc w:val="center"/>
        </w:trPr>
        <w:tc>
          <w:tcPr>
            <w:tcW w:w="722" w:type="dxa"/>
            <w:tcBorders>
              <w:top w:val="nil"/>
              <w:left w:val="single" w:color="auto" w:sz="4" w:space="0"/>
              <w:bottom w:val="single" w:color="auto" w:sz="4" w:space="0"/>
              <w:right w:val="single" w:color="auto" w:sz="4" w:space="0"/>
            </w:tcBorders>
            <w:shd w:val="clear" w:color="auto" w:fill="auto"/>
            <w:vAlign w:val="center"/>
          </w:tcPr>
          <w:p w14:paraId="48AEB0FE">
            <w:pPr>
              <w:widowControl/>
              <w:ind w:firstLine="0" w:firstLineChars="0"/>
              <w:jc w:val="center"/>
              <w:rPr>
                <w:rFonts w:eastAsia="宋体"/>
                <w:color w:val="000000"/>
                <w:kern w:val="0"/>
                <w:sz w:val="24"/>
              </w:rPr>
            </w:pPr>
            <w:r>
              <w:rPr>
                <w:rFonts w:eastAsia="宋体"/>
                <w:color w:val="000000"/>
                <w:kern w:val="0"/>
                <w:sz w:val="24"/>
              </w:rPr>
              <w:t>10</w:t>
            </w:r>
          </w:p>
        </w:tc>
        <w:tc>
          <w:tcPr>
            <w:tcW w:w="1379" w:type="dxa"/>
            <w:tcBorders>
              <w:top w:val="nil"/>
              <w:left w:val="nil"/>
              <w:bottom w:val="single" w:color="auto" w:sz="4" w:space="0"/>
              <w:right w:val="single" w:color="auto" w:sz="4" w:space="0"/>
            </w:tcBorders>
            <w:shd w:val="clear" w:color="auto" w:fill="auto"/>
            <w:vAlign w:val="center"/>
          </w:tcPr>
          <w:p w14:paraId="493C4EA8">
            <w:pPr>
              <w:widowControl/>
              <w:ind w:firstLine="0" w:firstLineChars="0"/>
              <w:jc w:val="center"/>
              <w:rPr>
                <w:rFonts w:ascii="宋体" w:hAnsi="宋体" w:eastAsia="宋体" w:cs="宋体"/>
                <w:color w:val="000000"/>
                <w:kern w:val="0"/>
                <w:sz w:val="24"/>
              </w:rPr>
            </w:pPr>
            <w:r>
              <w:rPr>
                <w:rFonts w:hint="eastAsia" w:ascii="宋体" w:hAnsi="宋体" w:eastAsia="宋体" w:cs="宋体"/>
                <w:color w:val="000000"/>
                <w:kern w:val="0"/>
                <w:sz w:val="24"/>
              </w:rPr>
              <w:t>姜黄制品（咖喱粉）</w:t>
            </w:r>
          </w:p>
        </w:tc>
        <w:tc>
          <w:tcPr>
            <w:tcW w:w="1507" w:type="dxa"/>
            <w:tcBorders>
              <w:top w:val="nil"/>
              <w:left w:val="nil"/>
              <w:bottom w:val="single" w:color="auto" w:sz="4" w:space="0"/>
              <w:right w:val="single" w:color="auto" w:sz="4" w:space="0"/>
            </w:tcBorders>
            <w:shd w:val="clear" w:color="auto" w:fill="auto"/>
            <w:vAlign w:val="center"/>
          </w:tcPr>
          <w:p w14:paraId="5F89DC06">
            <w:pPr>
              <w:widowControl/>
              <w:ind w:firstLine="0" w:firstLineChars="0"/>
              <w:jc w:val="center"/>
              <w:rPr>
                <w:rFonts w:eastAsia="宋体"/>
                <w:color w:val="000000"/>
                <w:kern w:val="0"/>
                <w:sz w:val="24"/>
              </w:rPr>
            </w:pPr>
            <w:r>
              <w:rPr>
                <w:rFonts w:eastAsia="宋体"/>
                <w:color w:val="000000"/>
                <w:kern w:val="0"/>
                <w:sz w:val="24"/>
              </w:rPr>
              <w:t>20240621005</w:t>
            </w:r>
          </w:p>
        </w:tc>
        <w:tc>
          <w:tcPr>
            <w:tcW w:w="839" w:type="dxa"/>
            <w:tcBorders>
              <w:top w:val="nil"/>
              <w:left w:val="nil"/>
              <w:bottom w:val="single" w:color="auto" w:sz="4" w:space="0"/>
              <w:right w:val="single" w:color="auto" w:sz="4" w:space="0"/>
            </w:tcBorders>
            <w:shd w:val="clear" w:color="auto" w:fill="auto"/>
            <w:vAlign w:val="center"/>
          </w:tcPr>
          <w:p w14:paraId="61C83C54">
            <w:pPr>
              <w:widowControl/>
              <w:ind w:firstLine="0" w:firstLineChars="0"/>
              <w:jc w:val="center"/>
              <w:rPr>
                <w:rFonts w:eastAsia="宋体"/>
                <w:color w:val="000000"/>
                <w:kern w:val="0"/>
                <w:sz w:val="24"/>
              </w:rPr>
            </w:pPr>
            <w:r>
              <w:rPr>
                <w:rFonts w:eastAsia="宋体"/>
                <w:color w:val="000000"/>
                <w:kern w:val="0"/>
                <w:sz w:val="24"/>
              </w:rPr>
              <w:t>0.916</w:t>
            </w:r>
          </w:p>
        </w:tc>
        <w:tc>
          <w:tcPr>
            <w:tcW w:w="850" w:type="dxa"/>
            <w:tcBorders>
              <w:top w:val="nil"/>
              <w:left w:val="nil"/>
              <w:bottom w:val="single" w:color="auto" w:sz="4" w:space="0"/>
              <w:right w:val="single" w:color="auto" w:sz="4" w:space="0"/>
            </w:tcBorders>
            <w:shd w:val="clear" w:color="auto" w:fill="auto"/>
            <w:vAlign w:val="center"/>
          </w:tcPr>
          <w:p w14:paraId="765DC071">
            <w:pPr>
              <w:widowControl/>
              <w:ind w:firstLine="0" w:firstLineChars="0"/>
              <w:jc w:val="center"/>
              <w:rPr>
                <w:rFonts w:eastAsia="宋体"/>
                <w:color w:val="000000"/>
                <w:kern w:val="0"/>
                <w:sz w:val="24"/>
              </w:rPr>
            </w:pPr>
            <w:r>
              <w:rPr>
                <w:rFonts w:eastAsia="宋体"/>
                <w:color w:val="000000"/>
                <w:kern w:val="0"/>
                <w:sz w:val="24"/>
              </w:rPr>
              <w:t>0.919</w:t>
            </w:r>
          </w:p>
        </w:tc>
        <w:tc>
          <w:tcPr>
            <w:tcW w:w="811" w:type="dxa"/>
            <w:tcBorders>
              <w:top w:val="nil"/>
              <w:left w:val="nil"/>
              <w:bottom w:val="single" w:color="auto" w:sz="4" w:space="0"/>
              <w:right w:val="single" w:color="auto" w:sz="4" w:space="0"/>
            </w:tcBorders>
            <w:shd w:val="clear" w:color="auto" w:fill="auto"/>
            <w:vAlign w:val="center"/>
          </w:tcPr>
          <w:p w14:paraId="656466C4">
            <w:pPr>
              <w:widowControl/>
              <w:ind w:firstLine="0" w:firstLineChars="0"/>
              <w:jc w:val="center"/>
              <w:rPr>
                <w:rFonts w:eastAsia="宋体"/>
                <w:color w:val="000000"/>
                <w:kern w:val="0"/>
                <w:sz w:val="24"/>
              </w:rPr>
            </w:pPr>
            <w:r>
              <w:rPr>
                <w:rFonts w:eastAsia="宋体"/>
                <w:color w:val="000000"/>
                <w:kern w:val="0"/>
                <w:sz w:val="24"/>
              </w:rPr>
              <w:t>0.862</w:t>
            </w:r>
          </w:p>
        </w:tc>
        <w:tc>
          <w:tcPr>
            <w:tcW w:w="851" w:type="dxa"/>
            <w:tcBorders>
              <w:top w:val="nil"/>
              <w:left w:val="nil"/>
              <w:bottom w:val="single" w:color="auto" w:sz="4" w:space="0"/>
              <w:right w:val="single" w:color="auto" w:sz="4" w:space="0"/>
            </w:tcBorders>
            <w:shd w:val="clear" w:color="auto" w:fill="auto"/>
            <w:vAlign w:val="center"/>
          </w:tcPr>
          <w:p w14:paraId="3498479E">
            <w:pPr>
              <w:widowControl/>
              <w:ind w:firstLine="0" w:firstLineChars="0"/>
              <w:jc w:val="center"/>
              <w:rPr>
                <w:rFonts w:eastAsia="宋体"/>
                <w:color w:val="000000"/>
                <w:kern w:val="0"/>
                <w:sz w:val="24"/>
              </w:rPr>
            </w:pPr>
            <w:r>
              <w:rPr>
                <w:rFonts w:eastAsia="宋体"/>
                <w:color w:val="000000"/>
                <w:kern w:val="0"/>
                <w:sz w:val="24"/>
              </w:rPr>
              <w:t>0.866</w:t>
            </w:r>
          </w:p>
        </w:tc>
        <w:tc>
          <w:tcPr>
            <w:tcW w:w="890" w:type="dxa"/>
            <w:tcBorders>
              <w:top w:val="nil"/>
              <w:left w:val="nil"/>
              <w:bottom w:val="single" w:color="auto" w:sz="4" w:space="0"/>
              <w:right w:val="single" w:color="auto" w:sz="4" w:space="0"/>
            </w:tcBorders>
            <w:shd w:val="clear" w:color="auto" w:fill="auto"/>
            <w:vAlign w:val="center"/>
          </w:tcPr>
          <w:p w14:paraId="7A155659">
            <w:pPr>
              <w:widowControl/>
              <w:ind w:firstLine="0" w:firstLineChars="0"/>
              <w:jc w:val="center"/>
              <w:rPr>
                <w:rFonts w:eastAsia="宋体"/>
                <w:color w:val="000000"/>
                <w:kern w:val="0"/>
                <w:sz w:val="24"/>
              </w:rPr>
            </w:pPr>
            <w:r>
              <w:rPr>
                <w:rFonts w:eastAsia="宋体"/>
                <w:color w:val="000000"/>
                <w:kern w:val="0"/>
                <w:sz w:val="24"/>
              </w:rPr>
              <w:t>0.891</w:t>
            </w:r>
          </w:p>
        </w:tc>
        <w:tc>
          <w:tcPr>
            <w:tcW w:w="850" w:type="dxa"/>
            <w:tcBorders>
              <w:top w:val="nil"/>
              <w:left w:val="nil"/>
              <w:bottom w:val="single" w:color="auto" w:sz="4" w:space="0"/>
              <w:right w:val="single" w:color="auto" w:sz="4" w:space="0"/>
            </w:tcBorders>
            <w:shd w:val="clear" w:color="auto" w:fill="auto"/>
            <w:vAlign w:val="center"/>
          </w:tcPr>
          <w:p w14:paraId="16AC64F5">
            <w:pPr>
              <w:widowControl/>
              <w:ind w:firstLine="0" w:firstLineChars="0"/>
              <w:jc w:val="center"/>
              <w:rPr>
                <w:rFonts w:eastAsia="宋体"/>
                <w:color w:val="000000"/>
                <w:kern w:val="0"/>
                <w:sz w:val="24"/>
              </w:rPr>
            </w:pPr>
            <w:r>
              <w:rPr>
                <w:rFonts w:eastAsia="宋体"/>
                <w:color w:val="000000"/>
                <w:kern w:val="0"/>
                <w:sz w:val="24"/>
              </w:rPr>
              <w:t>3.5</w:t>
            </w:r>
          </w:p>
        </w:tc>
      </w:tr>
      <w:tr w14:paraId="69251F8F">
        <w:tblPrEx>
          <w:tblCellMar>
            <w:top w:w="0" w:type="dxa"/>
            <w:left w:w="108" w:type="dxa"/>
            <w:bottom w:w="0" w:type="dxa"/>
            <w:right w:w="108" w:type="dxa"/>
          </w:tblCellMar>
        </w:tblPrEx>
        <w:trPr>
          <w:trHeight w:val="567" w:hRule="atLeast"/>
          <w:jc w:val="center"/>
        </w:trPr>
        <w:tc>
          <w:tcPr>
            <w:tcW w:w="722" w:type="dxa"/>
            <w:tcBorders>
              <w:top w:val="nil"/>
              <w:left w:val="single" w:color="auto" w:sz="4" w:space="0"/>
              <w:bottom w:val="single" w:color="auto" w:sz="4" w:space="0"/>
              <w:right w:val="single" w:color="auto" w:sz="4" w:space="0"/>
            </w:tcBorders>
            <w:shd w:val="clear" w:color="auto" w:fill="auto"/>
            <w:vAlign w:val="center"/>
          </w:tcPr>
          <w:p w14:paraId="57F10A07">
            <w:pPr>
              <w:widowControl/>
              <w:ind w:firstLine="0" w:firstLineChars="0"/>
              <w:jc w:val="center"/>
              <w:rPr>
                <w:rFonts w:eastAsia="宋体"/>
                <w:color w:val="000000"/>
                <w:kern w:val="0"/>
                <w:sz w:val="24"/>
              </w:rPr>
            </w:pPr>
            <w:r>
              <w:rPr>
                <w:rFonts w:eastAsia="宋体"/>
                <w:color w:val="000000"/>
                <w:kern w:val="0"/>
                <w:sz w:val="24"/>
              </w:rPr>
              <w:t>11</w:t>
            </w:r>
          </w:p>
        </w:tc>
        <w:tc>
          <w:tcPr>
            <w:tcW w:w="1379" w:type="dxa"/>
            <w:tcBorders>
              <w:top w:val="nil"/>
              <w:left w:val="nil"/>
              <w:bottom w:val="single" w:color="auto" w:sz="4" w:space="0"/>
              <w:right w:val="single" w:color="auto" w:sz="4" w:space="0"/>
            </w:tcBorders>
            <w:shd w:val="clear" w:color="auto" w:fill="auto"/>
            <w:vAlign w:val="center"/>
          </w:tcPr>
          <w:p w14:paraId="14DD2177">
            <w:pPr>
              <w:widowControl/>
              <w:ind w:firstLine="0" w:firstLineChars="0"/>
              <w:jc w:val="center"/>
              <w:rPr>
                <w:rFonts w:ascii="宋体" w:hAnsi="宋体" w:eastAsia="宋体" w:cs="宋体"/>
                <w:color w:val="000000"/>
                <w:kern w:val="0"/>
                <w:sz w:val="24"/>
              </w:rPr>
            </w:pPr>
            <w:r>
              <w:rPr>
                <w:rFonts w:hint="eastAsia" w:ascii="宋体" w:hAnsi="宋体" w:eastAsia="宋体" w:cs="宋体"/>
                <w:color w:val="000000"/>
                <w:kern w:val="0"/>
                <w:sz w:val="24"/>
              </w:rPr>
              <w:t>姜黄制品（咖喱粉）</w:t>
            </w:r>
          </w:p>
        </w:tc>
        <w:tc>
          <w:tcPr>
            <w:tcW w:w="1507" w:type="dxa"/>
            <w:tcBorders>
              <w:top w:val="nil"/>
              <w:left w:val="nil"/>
              <w:bottom w:val="single" w:color="auto" w:sz="4" w:space="0"/>
              <w:right w:val="single" w:color="auto" w:sz="4" w:space="0"/>
            </w:tcBorders>
            <w:shd w:val="clear" w:color="auto" w:fill="auto"/>
            <w:vAlign w:val="center"/>
          </w:tcPr>
          <w:p w14:paraId="1CCC9A46">
            <w:pPr>
              <w:widowControl/>
              <w:ind w:firstLine="0" w:firstLineChars="0"/>
              <w:jc w:val="center"/>
              <w:rPr>
                <w:rFonts w:eastAsia="宋体"/>
                <w:kern w:val="0"/>
                <w:sz w:val="24"/>
              </w:rPr>
            </w:pPr>
            <w:r>
              <w:rPr>
                <w:rFonts w:eastAsia="宋体"/>
                <w:kern w:val="0"/>
                <w:sz w:val="24"/>
              </w:rPr>
              <w:t>20232239</w:t>
            </w:r>
          </w:p>
        </w:tc>
        <w:tc>
          <w:tcPr>
            <w:tcW w:w="839" w:type="dxa"/>
            <w:tcBorders>
              <w:top w:val="nil"/>
              <w:left w:val="nil"/>
              <w:bottom w:val="single" w:color="auto" w:sz="4" w:space="0"/>
              <w:right w:val="single" w:color="auto" w:sz="4" w:space="0"/>
            </w:tcBorders>
            <w:shd w:val="clear" w:color="auto" w:fill="auto"/>
            <w:vAlign w:val="center"/>
          </w:tcPr>
          <w:p w14:paraId="4FC20BAB">
            <w:pPr>
              <w:widowControl/>
              <w:ind w:firstLine="0" w:firstLineChars="0"/>
              <w:jc w:val="center"/>
              <w:rPr>
                <w:rFonts w:eastAsia="宋体"/>
                <w:color w:val="000000"/>
                <w:kern w:val="0"/>
                <w:sz w:val="24"/>
              </w:rPr>
            </w:pPr>
            <w:r>
              <w:rPr>
                <w:rFonts w:eastAsia="宋体"/>
                <w:color w:val="000000"/>
                <w:kern w:val="0"/>
                <w:sz w:val="24"/>
              </w:rPr>
              <w:t>0.519</w:t>
            </w:r>
          </w:p>
        </w:tc>
        <w:tc>
          <w:tcPr>
            <w:tcW w:w="850" w:type="dxa"/>
            <w:tcBorders>
              <w:top w:val="nil"/>
              <w:left w:val="nil"/>
              <w:bottom w:val="single" w:color="auto" w:sz="4" w:space="0"/>
              <w:right w:val="single" w:color="auto" w:sz="4" w:space="0"/>
            </w:tcBorders>
            <w:shd w:val="clear" w:color="auto" w:fill="auto"/>
            <w:vAlign w:val="center"/>
          </w:tcPr>
          <w:p w14:paraId="34CEF7A0">
            <w:pPr>
              <w:widowControl/>
              <w:ind w:firstLine="0" w:firstLineChars="0"/>
              <w:jc w:val="center"/>
              <w:rPr>
                <w:rFonts w:eastAsia="宋体"/>
                <w:color w:val="000000"/>
                <w:kern w:val="0"/>
                <w:sz w:val="24"/>
              </w:rPr>
            </w:pPr>
            <w:r>
              <w:rPr>
                <w:rFonts w:eastAsia="宋体"/>
                <w:color w:val="000000"/>
                <w:kern w:val="0"/>
                <w:sz w:val="24"/>
              </w:rPr>
              <w:t>0.516</w:t>
            </w:r>
          </w:p>
        </w:tc>
        <w:tc>
          <w:tcPr>
            <w:tcW w:w="811" w:type="dxa"/>
            <w:tcBorders>
              <w:top w:val="nil"/>
              <w:left w:val="nil"/>
              <w:bottom w:val="single" w:color="auto" w:sz="4" w:space="0"/>
              <w:right w:val="single" w:color="auto" w:sz="4" w:space="0"/>
            </w:tcBorders>
            <w:shd w:val="clear" w:color="auto" w:fill="auto"/>
            <w:vAlign w:val="center"/>
          </w:tcPr>
          <w:p w14:paraId="44589DA1">
            <w:pPr>
              <w:widowControl/>
              <w:ind w:firstLine="0" w:firstLineChars="0"/>
              <w:jc w:val="center"/>
              <w:rPr>
                <w:rFonts w:eastAsia="宋体"/>
                <w:color w:val="000000"/>
                <w:kern w:val="0"/>
                <w:sz w:val="24"/>
              </w:rPr>
            </w:pPr>
            <w:r>
              <w:rPr>
                <w:rFonts w:eastAsia="宋体"/>
                <w:color w:val="000000"/>
                <w:kern w:val="0"/>
                <w:sz w:val="24"/>
              </w:rPr>
              <w:t>0.535</w:t>
            </w:r>
          </w:p>
        </w:tc>
        <w:tc>
          <w:tcPr>
            <w:tcW w:w="851" w:type="dxa"/>
            <w:tcBorders>
              <w:top w:val="nil"/>
              <w:left w:val="nil"/>
              <w:bottom w:val="single" w:color="auto" w:sz="4" w:space="0"/>
              <w:right w:val="single" w:color="auto" w:sz="4" w:space="0"/>
            </w:tcBorders>
            <w:shd w:val="clear" w:color="auto" w:fill="auto"/>
            <w:vAlign w:val="center"/>
          </w:tcPr>
          <w:p w14:paraId="5F263A24">
            <w:pPr>
              <w:widowControl/>
              <w:ind w:firstLine="0" w:firstLineChars="0"/>
              <w:jc w:val="center"/>
              <w:rPr>
                <w:rFonts w:eastAsia="宋体"/>
                <w:color w:val="000000"/>
                <w:kern w:val="0"/>
                <w:sz w:val="24"/>
              </w:rPr>
            </w:pPr>
            <w:r>
              <w:rPr>
                <w:rFonts w:eastAsia="宋体"/>
                <w:color w:val="000000"/>
                <w:kern w:val="0"/>
                <w:sz w:val="24"/>
              </w:rPr>
              <w:t>0.555</w:t>
            </w:r>
          </w:p>
        </w:tc>
        <w:tc>
          <w:tcPr>
            <w:tcW w:w="890" w:type="dxa"/>
            <w:tcBorders>
              <w:top w:val="nil"/>
              <w:left w:val="nil"/>
              <w:bottom w:val="single" w:color="auto" w:sz="4" w:space="0"/>
              <w:right w:val="single" w:color="auto" w:sz="4" w:space="0"/>
            </w:tcBorders>
            <w:shd w:val="clear" w:color="auto" w:fill="auto"/>
            <w:vAlign w:val="center"/>
          </w:tcPr>
          <w:p w14:paraId="3E5762A2">
            <w:pPr>
              <w:widowControl/>
              <w:ind w:firstLine="0" w:firstLineChars="0"/>
              <w:jc w:val="center"/>
              <w:rPr>
                <w:rFonts w:eastAsia="宋体"/>
                <w:color w:val="000000"/>
                <w:kern w:val="0"/>
                <w:sz w:val="24"/>
              </w:rPr>
            </w:pPr>
            <w:r>
              <w:rPr>
                <w:rFonts w:eastAsia="宋体"/>
                <w:color w:val="000000"/>
                <w:kern w:val="0"/>
                <w:sz w:val="24"/>
              </w:rPr>
              <w:t>0.531</w:t>
            </w:r>
          </w:p>
        </w:tc>
        <w:tc>
          <w:tcPr>
            <w:tcW w:w="850" w:type="dxa"/>
            <w:tcBorders>
              <w:top w:val="nil"/>
              <w:left w:val="nil"/>
              <w:bottom w:val="single" w:color="auto" w:sz="4" w:space="0"/>
              <w:right w:val="single" w:color="auto" w:sz="4" w:space="0"/>
            </w:tcBorders>
            <w:shd w:val="clear" w:color="auto" w:fill="auto"/>
            <w:vAlign w:val="center"/>
          </w:tcPr>
          <w:p w14:paraId="1A95984C">
            <w:pPr>
              <w:widowControl/>
              <w:ind w:firstLine="0" w:firstLineChars="0"/>
              <w:jc w:val="center"/>
              <w:rPr>
                <w:rFonts w:eastAsia="宋体"/>
                <w:color w:val="000000"/>
                <w:kern w:val="0"/>
                <w:sz w:val="24"/>
              </w:rPr>
            </w:pPr>
            <w:r>
              <w:rPr>
                <w:rFonts w:eastAsia="宋体"/>
                <w:color w:val="000000"/>
                <w:kern w:val="0"/>
                <w:sz w:val="24"/>
              </w:rPr>
              <w:t>3.4</w:t>
            </w:r>
          </w:p>
        </w:tc>
      </w:tr>
      <w:tr w14:paraId="290F2AA7">
        <w:tblPrEx>
          <w:tblCellMar>
            <w:top w:w="0" w:type="dxa"/>
            <w:left w:w="108" w:type="dxa"/>
            <w:bottom w:w="0" w:type="dxa"/>
            <w:right w:w="108" w:type="dxa"/>
          </w:tblCellMar>
        </w:tblPrEx>
        <w:trPr>
          <w:trHeight w:val="567" w:hRule="atLeast"/>
          <w:jc w:val="center"/>
        </w:trPr>
        <w:tc>
          <w:tcPr>
            <w:tcW w:w="722" w:type="dxa"/>
            <w:tcBorders>
              <w:top w:val="nil"/>
              <w:left w:val="single" w:color="auto" w:sz="4" w:space="0"/>
              <w:bottom w:val="single" w:color="auto" w:sz="4" w:space="0"/>
              <w:right w:val="single" w:color="auto" w:sz="4" w:space="0"/>
            </w:tcBorders>
            <w:shd w:val="clear" w:color="auto" w:fill="auto"/>
            <w:vAlign w:val="center"/>
          </w:tcPr>
          <w:p w14:paraId="06197850">
            <w:pPr>
              <w:widowControl/>
              <w:ind w:firstLine="0" w:firstLineChars="0"/>
              <w:jc w:val="center"/>
              <w:rPr>
                <w:rFonts w:eastAsia="宋体"/>
                <w:color w:val="000000"/>
                <w:kern w:val="0"/>
                <w:sz w:val="24"/>
              </w:rPr>
            </w:pPr>
            <w:r>
              <w:rPr>
                <w:rFonts w:eastAsia="宋体"/>
                <w:color w:val="000000"/>
                <w:kern w:val="0"/>
                <w:sz w:val="24"/>
              </w:rPr>
              <w:t>12</w:t>
            </w:r>
          </w:p>
        </w:tc>
        <w:tc>
          <w:tcPr>
            <w:tcW w:w="1379" w:type="dxa"/>
            <w:tcBorders>
              <w:top w:val="nil"/>
              <w:left w:val="nil"/>
              <w:bottom w:val="single" w:color="auto" w:sz="4" w:space="0"/>
              <w:right w:val="single" w:color="auto" w:sz="4" w:space="0"/>
            </w:tcBorders>
            <w:shd w:val="clear" w:color="auto" w:fill="auto"/>
            <w:vAlign w:val="center"/>
          </w:tcPr>
          <w:p w14:paraId="32715DDE">
            <w:pPr>
              <w:widowControl/>
              <w:ind w:firstLine="0" w:firstLineChars="0"/>
              <w:jc w:val="center"/>
              <w:rPr>
                <w:rFonts w:ascii="宋体" w:hAnsi="宋体" w:eastAsia="宋体" w:cs="宋体"/>
                <w:color w:val="000000"/>
                <w:kern w:val="0"/>
                <w:sz w:val="24"/>
              </w:rPr>
            </w:pPr>
            <w:r>
              <w:rPr>
                <w:rFonts w:hint="eastAsia" w:ascii="宋体" w:hAnsi="宋体" w:eastAsia="宋体" w:cs="宋体"/>
                <w:color w:val="000000"/>
                <w:kern w:val="0"/>
                <w:sz w:val="24"/>
              </w:rPr>
              <w:t>姜黄制品（咖喱粉）</w:t>
            </w:r>
          </w:p>
        </w:tc>
        <w:tc>
          <w:tcPr>
            <w:tcW w:w="1507" w:type="dxa"/>
            <w:tcBorders>
              <w:top w:val="nil"/>
              <w:left w:val="nil"/>
              <w:bottom w:val="single" w:color="auto" w:sz="4" w:space="0"/>
              <w:right w:val="single" w:color="auto" w:sz="4" w:space="0"/>
            </w:tcBorders>
            <w:shd w:val="clear" w:color="auto" w:fill="auto"/>
            <w:vAlign w:val="center"/>
          </w:tcPr>
          <w:p w14:paraId="58F81195">
            <w:pPr>
              <w:widowControl/>
              <w:ind w:firstLine="0" w:firstLineChars="0"/>
              <w:jc w:val="center"/>
              <w:rPr>
                <w:rFonts w:eastAsia="宋体"/>
                <w:kern w:val="0"/>
                <w:sz w:val="24"/>
              </w:rPr>
            </w:pPr>
            <w:r>
              <w:rPr>
                <w:rFonts w:eastAsia="宋体"/>
                <w:kern w:val="0"/>
                <w:sz w:val="24"/>
              </w:rPr>
              <w:t>2509090005</w:t>
            </w:r>
          </w:p>
        </w:tc>
        <w:tc>
          <w:tcPr>
            <w:tcW w:w="839" w:type="dxa"/>
            <w:tcBorders>
              <w:top w:val="nil"/>
              <w:left w:val="nil"/>
              <w:bottom w:val="single" w:color="auto" w:sz="4" w:space="0"/>
              <w:right w:val="single" w:color="auto" w:sz="4" w:space="0"/>
            </w:tcBorders>
            <w:shd w:val="clear" w:color="auto" w:fill="auto"/>
            <w:vAlign w:val="center"/>
          </w:tcPr>
          <w:p w14:paraId="175194EB">
            <w:pPr>
              <w:widowControl/>
              <w:ind w:firstLine="0" w:firstLineChars="0"/>
              <w:jc w:val="center"/>
              <w:rPr>
                <w:rFonts w:eastAsia="宋体"/>
                <w:color w:val="000000"/>
                <w:kern w:val="0"/>
                <w:sz w:val="24"/>
              </w:rPr>
            </w:pPr>
            <w:r>
              <w:rPr>
                <w:rFonts w:eastAsia="宋体"/>
                <w:color w:val="000000"/>
                <w:kern w:val="0"/>
                <w:sz w:val="24"/>
              </w:rPr>
              <w:t>0.56</w:t>
            </w:r>
            <w:r>
              <w:rPr>
                <w:rFonts w:hint="eastAsia" w:eastAsia="宋体"/>
                <w:color w:val="000000"/>
                <w:kern w:val="0"/>
                <w:sz w:val="24"/>
              </w:rPr>
              <w:t>0</w:t>
            </w:r>
          </w:p>
        </w:tc>
        <w:tc>
          <w:tcPr>
            <w:tcW w:w="850" w:type="dxa"/>
            <w:tcBorders>
              <w:top w:val="nil"/>
              <w:left w:val="nil"/>
              <w:bottom w:val="single" w:color="auto" w:sz="4" w:space="0"/>
              <w:right w:val="single" w:color="auto" w:sz="4" w:space="0"/>
            </w:tcBorders>
            <w:shd w:val="clear" w:color="auto" w:fill="auto"/>
            <w:vAlign w:val="center"/>
          </w:tcPr>
          <w:p w14:paraId="377C0742">
            <w:pPr>
              <w:widowControl/>
              <w:ind w:firstLine="0" w:firstLineChars="0"/>
              <w:jc w:val="center"/>
              <w:rPr>
                <w:rFonts w:eastAsia="宋体"/>
                <w:color w:val="000000"/>
                <w:kern w:val="0"/>
                <w:sz w:val="24"/>
              </w:rPr>
            </w:pPr>
            <w:r>
              <w:rPr>
                <w:rFonts w:eastAsia="宋体"/>
                <w:color w:val="000000"/>
                <w:kern w:val="0"/>
                <w:sz w:val="24"/>
              </w:rPr>
              <w:t>0.56</w:t>
            </w:r>
            <w:r>
              <w:rPr>
                <w:rFonts w:hint="eastAsia" w:eastAsia="宋体"/>
                <w:color w:val="000000"/>
                <w:kern w:val="0"/>
                <w:sz w:val="24"/>
              </w:rPr>
              <w:t>0</w:t>
            </w:r>
          </w:p>
        </w:tc>
        <w:tc>
          <w:tcPr>
            <w:tcW w:w="811" w:type="dxa"/>
            <w:tcBorders>
              <w:top w:val="nil"/>
              <w:left w:val="nil"/>
              <w:bottom w:val="single" w:color="auto" w:sz="4" w:space="0"/>
              <w:right w:val="single" w:color="auto" w:sz="4" w:space="0"/>
            </w:tcBorders>
            <w:shd w:val="clear" w:color="auto" w:fill="auto"/>
            <w:vAlign w:val="center"/>
          </w:tcPr>
          <w:p w14:paraId="5787C86C">
            <w:pPr>
              <w:widowControl/>
              <w:ind w:firstLine="0" w:firstLineChars="0"/>
              <w:jc w:val="center"/>
              <w:rPr>
                <w:rFonts w:eastAsia="宋体"/>
                <w:color w:val="000000"/>
                <w:kern w:val="0"/>
                <w:sz w:val="24"/>
              </w:rPr>
            </w:pPr>
            <w:r>
              <w:rPr>
                <w:rFonts w:eastAsia="宋体"/>
                <w:color w:val="000000"/>
                <w:kern w:val="0"/>
                <w:sz w:val="24"/>
              </w:rPr>
              <w:t>0.572</w:t>
            </w:r>
          </w:p>
        </w:tc>
        <w:tc>
          <w:tcPr>
            <w:tcW w:w="851" w:type="dxa"/>
            <w:tcBorders>
              <w:top w:val="nil"/>
              <w:left w:val="nil"/>
              <w:bottom w:val="single" w:color="auto" w:sz="4" w:space="0"/>
              <w:right w:val="single" w:color="auto" w:sz="4" w:space="0"/>
            </w:tcBorders>
            <w:shd w:val="clear" w:color="auto" w:fill="auto"/>
            <w:vAlign w:val="center"/>
          </w:tcPr>
          <w:p w14:paraId="16BC4D58">
            <w:pPr>
              <w:widowControl/>
              <w:ind w:firstLine="0" w:firstLineChars="0"/>
              <w:jc w:val="center"/>
              <w:rPr>
                <w:rFonts w:eastAsia="宋体"/>
                <w:color w:val="000000"/>
                <w:kern w:val="0"/>
                <w:sz w:val="24"/>
              </w:rPr>
            </w:pPr>
            <w:r>
              <w:rPr>
                <w:rFonts w:eastAsia="宋体"/>
                <w:color w:val="000000"/>
                <w:kern w:val="0"/>
                <w:sz w:val="24"/>
              </w:rPr>
              <w:t>0.569</w:t>
            </w:r>
          </w:p>
        </w:tc>
        <w:tc>
          <w:tcPr>
            <w:tcW w:w="890" w:type="dxa"/>
            <w:tcBorders>
              <w:top w:val="nil"/>
              <w:left w:val="nil"/>
              <w:bottom w:val="single" w:color="auto" w:sz="4" w:space="0"/>
              <w:right w:val="single" w:color="auto" w:sz="4" w:space="0"/>
            </w:tcBorders>
            <w:shd w:val="clear" w:color="auto" w:fill="auto"/>
            <w:vAlign w:val="center"/>
          </w:tcPr>
          <w:p w14:paraId="587D74AA">
            <w:pPr>
              <w:widowControl/>
              <w:ind w:firstLine="0" w:firstLineChars="0"/>
              <w:jc w:val="center"/>
              <w:rPr>
                <w:rFonts w:eastAsia="宋体"/>
                <w:color w:val="000000"/>
                <w:kern w:val="0"/>
                <w:sz w:val="24"/>
              </w:rPr>
            </w:pPr>
            <w:r>
              <w:rPr>
                <w:rFonts w:eastAsia="宋体"/>
                <w:color w:val="000000"/>
                <w:kern w:val="0"/>
                <w:sz w:val="24"/>
              </w:rPr>
              <w:t>0.565</w:t>
            </w:r>
          </w:p>
        </w:tc>
        <w:tc>
          <w:tcPr>
            <w:tcW w:w="850" w:type="dxa"/>
            <w:tcBorders>
              <w:top w:val="nil"/>
              <w:left w:val="nil"/>
              <w:bottom w:val="single" w:color="auto" w:sz="4" w:space="0"/>
              <w:right w:val="single" w:color="auto" w:sz="4" w:space="0"/>
            </w:tcBorders>
            <w:shd w:val="clear" w:color="auto" w:fill="auto"/>
            <w:vAlign w:val="center"/>
          </w:tcPr>
          <w:p w14:paraId="259E9C86">
            <w:pPr>
              <w:widowControl/>
              <w:ind w:firstLine="0" w:firstLineChars="0"/>
              <w:jc w:val="center"/>
              <w:rPr>
                <w:rFonts w:eastAsia="宋体"/>
                <w:color w:val="000000"/>
                <w:kern w:val="0"/>
                <w:sz w:val="24"/>
              </w:rPr>
            </w:pPr>
            <w:r>
              <w:rPr>
                <w:rFonts w:eastAsia="宋体"/>
                <w:color w:val="000000"/>
                <w:kern w:val="0"/>
                <w:sz w:val="24"/>
              </w:rPr>
              <w:t>1.1</w:t>
            </w:r>
          </w:p>
        </w:tc>
      </w:tr>
    </w:tbl>
    <w:p w14:paraId="70628A76">
      <w:pPr>
        <w:ind w:firstLine="640"/>
        <w:rPr>
          <w:rFonts w:eastAsia="黑体"/>
          <w:szCs w:val="32"/>
        </w:rPr>
      </w:pPr>
      <w:r>
        <w:rPr>
          <w:rFonts w:hint="eastAsia" w:eastAsia="黑体"/>
          <w:szCs w:val="32"/>
        </w:rPr>
        <w:t>表9：姜黄及其制品中CurⅡ含量的测定结果（单位</w:t>
      </w:r>
      <w:r>
        <w:rPr>
          <w:rFonts w:eastAsia="黑体"/>
          <w:szCs w:val="32"/>
        </w:rPr>
        <w:t>：</w:t>
      </w:r>
      <w:r>
        <w:rPr>
          <w:rFonts w:hint="eastAsia" w:eastAsia="黑体"/>
          <w:szCs w:val="32"/>
        </w:rPr>
        <w:t>%）</w:t>
      </w:r>
    </w:p>
    <w:tbl>
      <w:tblPr>
        <w:tblStyle w:val="9"/>
        <w:tblW w:w="8699" w:type="dxa"/>
        <w:jc w:val="center"/>
        <w:tblLayout w:type="fixed"/>
        <w:tblCellMar>
          <w:top w:w="0" w:type="dxa"/>
          <w:left w:w="108" w:type="dxa"/>
          <w:bottom w:w="0" w:type="dxa"/>
          <w:right w:w="108" w:type="dxa"/>
        </w:tblCellMar>
      </w:tblPr>
      <w:tblGrid>
        <w:gridCol w:w="722"/>
        <w:gridCol w:w="1379"/>
        <w:gridCol w:w="1507"/>
        <w:gridCol w:w="839"/>
        <w:gridCol w:w="850"/>
        <w:gridCol w:w="811"/>
        <w:gridCol w:w="851"/>
        <w:gridCol w:w="890"/>
        <w:gridCol w:w="850"/>
      </w:tblGrid>
      <w:tr w14:paraId="32045ABC">
        <w:tblPrEx>
          <w:tblCellMar>
            <w:top w:w="0" w:type="dxa"/>
            <w:left w:w="108" w:type="dxa"/>
            <w:bottom w:w="0" w:type="dxa"/>
            <w:right w:w="108" w:type="dxa"/>
          </w:tblCellMar>
        </w:tblPrEx>
        <w:trPr>
          <w:trHeight w:val="567" w:hRule="atLeast"/>
          <w:jc w:val="center"/>
        </w:trPr>
        <w:tc>
          <w:tcPr>
            <w:tcW w:w="722" w:type="dxa"/>
            <w:tcBorders>
              <w:top w:val="single" w:color="auto" w:sz="4" w:space="0"/>
              <w:left w:val="single" w:color="auto" w:sz="4" w:space="0"/>
              <w:bottom w:val="single" w:color="auto" w:sz="4" w:space="0"/>
              <w:right w:val="single" w:color="auto" w:sz="4" w:space="0"/>
            </w:tcBorders>
            <w:shd w:val="clear" w:color="auto" w:fill="auto"/>
            <w:vAlign w:val="center"/>
          </w:tcPr>
          <w:p w14:paraId="2C68B57F">
            <w:pPr>
              <w:widowControl/>
              <w:ind w:firstLine="0" w:firstLineChars="0"/>
              <w:rPr>
                <w:rFonts w:ascii="宋体" w:hAnsi="宋体" w:eastAsia="宋体" w:cs="宋体"/>
                <w:b/>
                <w:color w:val="000000"/>
                <w:kern w:val="0"/>
                <w:sz w:val="24"/>
              </w:rPr>
            </w:pPr>
            <w:r>
              <w:rPr>
                <w:rFonts w:hint="eastAsia" w:ascii="宋体" w:hAnsi="宋体" w:eastAsia="宋体" w:cs="宋体"/>
                <w:b/>
                <w:color w:val="000000"/>
                <w:kern w:val="0"/>
                <w:sz w:val="24"/>
              </w:rPr>
              <w:t>序号</w:t>
            </w:r>
          </w:p>
        </w:tc>
        <w:tc>
          <w:tcPr>
            <w:tcW w:w="1379" w:type="dxa"/>
            <w:tcBorders>
              <w:top w:val="single" w:color="auto" w:sz="4" w:space="0"/>
              <w:left w:val="nil"/>
              <w:bottom w:val="single" w:color="auto" w:sz="4" w:space="0"/>
              <w:right w:val="single" w:color="auto" w:sz="4" w:space="0"/>
            </w:tcBorders>
            <w:shd w:val="clear" w:color="auto" w:fill="auto"/>
            <w:vAlign w:val="center"/>
          </w:tcPr>
          <w:p w14:paraId="217266D6">
            <w:pPr>
              <w:widowControl/>
              <w:ind w:firstLine="0" w:firstLineChars="0"/>
              <w:jc w:val="center"/>
              <w:rPr>
                <w:rFonts w:ascii="宋体" w:hAnsi="宋体" w:eastAsia="宋体" w:cs="宋体"/>
                <w:b/>
                <w:color w:val="000000"/>
                <w:kern w:val="0"/>
                <w:sz w:val="24"/>
              </w:rPr>
            </w:pPr>
            <w:r>
              <w:rPr>
                <w:rFonts w:hint="eastAsia" w:ascii="宋体" w:hAnsi="宋体" w:eastAsia="宋体" w:cs="宋体"/>
                <w:b/>
                <w:color w:val="000000"/>
                <w:kern w:val="0"/>
                <w:sz w:val="24"/>
              </w:rPr>
              <w:t>名称</w:t>
            </w:r>
          </w:p>
        </w:tc>
        <w:tc>
          <w:tcPr>
            <w:tcW w:w="1507" w:type="dxa"/>
            <w:tcBorders>
              <w:top w:val="single" w:color="auto" w:sz="4" w:space="0"/>
              <w:left w:val="nil"/>
              <w:bottom w:val="single" w:color="auto" w:sz="4" w:space="0"/>
              <w:right w:val="single" w:color="auto" w:sz="4" w:space="0"/>
            </w:tcBorders>
            <w:shd w:val="clear" w:color="auto" w:fill="auto"/>
            <w:vAlign w:val="center"/>
          </w:tcPr>
          <w:p w14:paraId="7B1315FA">
            <w:pPr>
              <w:widowControl/>
              <w:ind w:firstLine="0" w:firstLineChars="0"/>
              <w:jc w:val="center"/>
              <w:rPr>
                <w:rFonts w:ascii="宋体" w:hAnsi="宋体" w:eastAsia="宋体" w:cs="宋体"/>
                <w:b/>
                <w:color w:val="000000"/>
                <w:kern w:val="0"/>
                <w:sz w:val="24"/>
              </w:rPr>
            </w:pPr>
            <w:r>
              <w:rPr>
                <w:rFonts w:hint="eastAsia" w:ascii="宋体" w:hAnsi="宋体" w:eastAsia="宋体" w:cs="宋体"/>
                <w:b/>
                <w:color w:val="000000"/>
                <w:kern w:val="0"/>
                <w:sz w:val="24"/>
              </w:rPr>
              <w:t>批号</w:t>
            </w:r>
          </w:p>
        </w:tc>
        <w:tc>
          <w:tcPr>
            <w:tcW w:w="839" w:type="dxa"/>
            <w:tcBorders>
              <w:top w:val="single" w:color="auto" w:sz="4" w:space="0"/>
              <w:left w:val="nil"/>
              <w:bottom w:val="single" w:color="auto" w:sz="4" w:space="0"/>
              <w:right w:val="single" w:color="auto" w:sz="4" w:space="0"/>
            </w:tcBorders>
            <w:shd w:val="clear" w:color="auto" w:fill="auto"/>
            <w:vAlign w:val="center"/>
          </w:tcPr>
          <w:p w14:paraId="73715883">
            <w:pPr>
              <w:widowControl/>
              <w:ind w:firstLine="0" w:firstLineChars="0"/>
              <w:jc w:val="center"/>
              <w:rPr>
                <w:rFonts w:ascii="宋体" w:hAnsi="宋体" w:eastAsia="宋体" w:cs="宋体"/>
                <w:b/>
                <w:kern w:val="0"/>
                <w:sz w:val="24"/>
              </w:rPr>
            </w:pPr>
            <w:r>
              <w:rPr>
                <w:rFonts w:hint="eastAsia" w:ascii="宋体" w:hAnsi="宋体" w:eastAsia="宋体" w:cs="宋体"/>
                <w:b/>
                <w:kern w:val="0"/>
                <w:sz w:val="24"/>
              </w:rPr>
              <w:t>玉林中心</w:t>
            </w:r>
          </w:p>
        </w:tc>
        <w:tc>
          <w:tcPr>
            <w:tcW w:w="850" w:type="dxa"/>
            <w:tcBorders>
              <w:top w:val="single" w:color="auto" w:sz="4" w:space="0"/>
              <w:left w:val="nil"/>
              <w:bottom w:val="single" w:color="auto" w:sz="4" w:space="0"/>
              <w:right w:val="single" w:color="auto" w:sz="4" w:space="0"/>
            </w:tcBorders>
            <w:shd w:val="clear" w:color="auto" w:fill="auto"/>
            <w:vAlign w:val="center"/>
          </w:tcPr>
          <w:p w14:paraId="4F879A45">
            <w:pPr>
              <w:widowControl/>
              <w:ind w:firstLine="0" w:firstLineChars="0"/>
              <w:jc w:val="center"/>
              <w:rPr>
                <w:rFonts w:ascii="宋体" w:hAnsi="宋体" w:eastAsia="宋体" w:cs="宋体"/>
                <w:b/>
                <w:kern w:val="0"/>
                <w:sz w:val="24"/>
              </w:rPr>
            </w:pPr>
            <w:r>
              <w:rPr>
                <w:rFonts w:hint="eastAsia" w:ascii="宋体" w:hAnsi="宋体" w:eastAsia="宋体" w:cs="宋体"/>
                <w:b/>
                <w:kern w:val="0"/>
                <w:sz w:val="24"/>
              </w:rPr>
              <w:t>梧州所</w:t>
            </w:r>
          </w:p>
        </w:tc>
        <w:tc>
          <w:tcPr>
            <w:tcW w:w="811" w:type="dxa"/>
            <w:tcBorders>
              <w:top w:val="single" w:color="auto" w:sz="4" w:space="0"/>
              <w:left w:val="nil"/>
              <w:bottom w:val="single" w:color="auto" w:sz="4" w:space="0"/>
              <w:right w:val="single" w:color="auto" w:sz="4" w:space="0"/>
            </w:tcBorders>
            <w:shd w:val="clear" w:color="auto" w:fill="auto"/>
            <w:vAlign w:val="center"/>
          </w:tcPr>
          <w:p w14:paraId="06A57CE0">
            <w:pPr>
              <w:widowControl/>
              <w:ind w:firstLine="0" w:firstLineChars="0"/>
              <w:jc w:val="center"/>
              <w:rPr>
                <w:rFonts w:ascii="宋体" w:hAnsi="宋体" w:eastAsia="宋体" w:cs="宋体"/>
                <w:b/>
                <w:kern w:val="0"/>
                <w:sz w:val="24"/>
              </w:rPr>
            </w:pPr>
            <w:r>
              <w:rPr>
                <w:rFonts w:hint="eastAsia" w:ascii="宋体" w:hAnsi="宋体" w:eastAsia="宋体" w:cs="宋体"/>
                <w:b/>
                <w:kern w:val="0"/>
                <w:sz w:val="24"/>
              </w:rPr>
              <w:t>质检院</w:t>
            </w:r>
          </w:p>
        </w:tc>
        <w:tc>
          <w:tcPr>
            <w:tcW w:w="851" w:type="dxa"/>
            <w:tcBorders>
              <w:top w:val="single" w:color="auto" w:sz="4" w:space="0"/>
              <w:left w:val="nil"/>
              <w:bottom w:val="single" w:color="auto" w:sz="4" w:space="0"/>
              <w:right w:val="single" w:color="auto" w:sz="4" w:space="0"/>
            </w:tcBorders>
            <w:shd w:val="clear" w:color="auto" w:fill="auto"/>
            <w:vAlign w:val="center"/>
          </w:tcPr>
          <w:p w14:paraId="0B1D98B5">
            <w:pPr>
              <w:widowControl/>
              <w:ind w:firstLine="0" w:firstLineChars="0"/>
              <w:jc w:val="center"/>
              <w:rPr>
                <w:rFonts w:ascii="宋体" w:hAnsi="宋体" w:eastAsia="宋体" w:cs="宋体"/>
                <w:b/>
                <w:bCs/>
                <w:kern w:val="0"/>
                <w:sz w:val="24"/>
              </w:rPr>
            </w:pPr>
            <w:r>
              <w:rPr>
                <w:rFonts w:hint="eastAsia" w:ascii="宋体" w:hAnsi="宋体" w:eastAsia="宋体" w:cs="宋体"/>
                <w:b/>
                <w:bCs/>
                <w:kern w:val="0"/>
                <w:sz w:val="24"/>
              </w:rPr>
              <w:t>广电计量</w:t>
            </w:r>
          </w:p>
        </w:tc>
        <w:tc>
          <w:tcPr>
            <w:tcW w:w="890" w:type="dxa"/>
            <w:tcBorders>
              <w:top w:val="single" w:color="auto" w:sz="4" w:space="0"/>
              <w:left w:val="nil"/>
              <w:bottom w:val="single" w:color="auto" w:sz="4" w:space="0"/>
              <w:right w:val="single" w:color="auto" w:sz="4" w:space="0"/>
            </w:tcBorders>
            <w:shd w:val="clear" w:color="auto" w:fill="auto"/>
            <w:vAlign w:val="center"/>
          </w:tcPr>
          <w:p w14:paraId="51335C6E">
            <w:pPr>
              <w:widowControl/>
              <w:ind w:firstLine="0" w:firstLineChars="0"/>
              <w:jc w:val="center"/>
              <w:rPr>
                <w:rFonts w:ascii="宋体" w:hAnsi="宋体" w:eastAsia="宋体" w:cs="宋体"/>
                <w:b/>
                <w:bCs/>
                <w:kern w:val="0"/>
                <w:sz w:val="24"/>
              </w:rPr>
            </w:pPr>
            <w:r>
              <w:rPr>
                <w:rFonts w:hint="eastAsia" w:ascii="宋体" w:hAnsi="宋体" w:eastAsia="宋体" w:cs="宋体"/>
                <w:b/>
                <w:bCs/>
                <w:kern w:val="0"/>
                <w:sz w:val="24"/>
              </w:rPr>
              <w:t>平均值</w:t>
            </w:r>
          </w:p>
        </w:tc>
        <w:tc>
          <w:tcPr>
            <w:tcW w:w="850" w:type="dxa"/>
            <w:tcBorders>
              <w:top w:val="single" w:color="auto" w:sz="4" w:space="0"/>
              <w:left w:val="nil"/>
              <w:bottom w:val="single" w:color="auto" w:sz="4" w:space="0"/>
              <w:right w:val="single" w:color="auto" w:sz="4" w:space="0"/>
            </w:tcBorders>
            <w:shd w:val="clear" w:color="auto" w:fill="auto"/>
            <w:vAlign w:val="center"/>
          </w:tcPr>
          <w:p w14:paraId="4BF0D5B7">
            <w:pPr>
              <w:widowControl/>
              <w:ind w:firstLine="0" w:firstLineChars="0"/>
              <w:jc w:val="center"/>
              <w:rPr>
                <w:rFonts w:eastAsia="宋体"/>
                <w:b/>
                <w:bCs/>
                <w:kern w:val="0"/>
                <w:sz w:val="24"/>
              </w:rPr>
            </w:pPr>
            <w:r>
              <w:rPr>
                <w:rFonts w:eastAsia="宋体"/>
                <w:b/>
                <w:bCs/>
                <w:kern w:val="0"/>
                <w:sz w:val="24"/>
              </w:rPr>
              <w:t>RSD</w:t>
            </w:r>
          </w:p>
        </w:tc>
      </w:tr>
      <w:tr w14:paraId="63AB5042">
        <w:tblPrEx>
          <w:tblCellMar>
            <w:top w:w="0" w:type="dxa"/>
            <w:left w:w="108" w:type="dxa"/>
            <w:bottom w:w="0" w:type="dxa"/>
            <w:right w:w="108" w:type="dxa"/>
          </w:tblCellMar>
        </w:tblPrEx>
        <w:trPr>
          <w:trHeight w:val="567" w:hRule="atLeast"/>
          <w:jc w:val="center"/>
        </w:trPr>
        <w:tc>
          <w:tcPr>
            <w:tcW w:w="722" w:type="dxa"/>
            <w:tcBorders>
              <w:top w:val="nil"/>
              <w:left w:val="single" w:color="auto" w:sz="4" w:space="0"/>
              <w:bottom w:val="single" w:color="auto" w:sz="4" w:space="0"/>
              <w:right w:val="single" w:color="auto" w:sz="4" w:space="0"/>
            </w:tcBorders>
            <w:shd w:val="clear" w:color="auto" w:fill="auto"/>
            <w:vAlign w:val="center"/>
          </w:tcPr>
          <w:p w14:paraId="6F7808EB">
            <w:pPr>
              <w:widowControl/>
              <w:ind w:firstLine="0" w:firstLineChars="0"/>
              <w:jc w:val="center"/>
              <w:rPr>
                <w:rFonts w:eastAsia="宋体"/>
                <w:color w:val="000000"/>
                <w:kern w:val="0"/>
                <w:sz w:val="24"/>
              </w:rPr>
            </w:pPr>
            <w:r>
              <w:rPr>
                <w:rFonts w:eastAsia="宋体"/>
                <w:color w:val="000000"/>
                <w:kern w:val="0"/>
                <w:sz w:val="24"/>
              </w:rPr>
              <w:t>1</w:t>
            </w:r>
          </w:p>
        </w:tc>
        <w:tc>
          <w:tcPr>
            <w:tcW w:w="1379" w:type="dxa"/>
            <w:tcBorders>
              <w:top w:val="nil"/>
              <w:left w:val="nil"/>
              <w:bottom w:val="single" w:color="auto" w:sz="4" w:space="0"/>
              <w:right w:val="single" w:color="auto" w:sz="4" w:space="0"/>
            </w:tcBorders>
            <w:shd w:val="clear" w:color="auto" w:fill="auto"/>
            <w:vAlign w:val="center"/>
          </w:tcPr>
          <w:p w14:paraId="09CDAEE0">
            <w:pPr>
              <w:widowControl/>
              <w:ind w:firstLine="0" w:firstLineChars="0"/>
              <w:jc w:val="center"/>
              <w:rPr>
                <w:rFonts w:ascii="宋体" w:hAnsi="宋体" w:eastAsia="宋体" w:cs="宋体"/>
                <w:color w:val="000000"/>
                <w:kern w:val="0"/>
                <w:sz w:val="24"/>
              </w:rPr>
            </w:pPr>
            <w:r>
              <w:rPr>
                <w:rFonts w:hint="eastAsia" w:ascii="宋体" w:hAnsi="宋体" w:eastAsia="宋体" w:cs="宋体"/>
                <w:color w:val="000000"/>
                <w:kern w:val="0"/>
                <w:sz w:val="24"/>
              </w:rPr>
              <w:t>姜黄</w:t>
            </w:r>
          </w:p>
        </w:tc>
        <w:tc>
          <w:tcPr>
            <w:tcW w:w="1507" w:type="dxa"/>
            <w:tcBorders>
              <w:top w:val="nil"/>
              <w:left w:val="nil"/>
              <w:bottom w:val="single" w:color="auto" w:sz="4" w:space="0"/>
              <w:right w:val="single" w:color="auto" w:sz="4" w:space="0"/>
            </w:tcBorders>
            <w:shd w:val="clear" w:color="auto" w:fill="auto"/>
            <w:vAlign w:val="center"/>
          </w:tcPr>
          <w:p w14:paraId="1801EB06">
            <w:pPr>
              <w:widowControl/>
              <w:ind w:firstLine="0" w:firstLineChars="0"/>
              <w:jc w:val="center"/>
              <w:rPr>
                <w:rFonts w:eastAsia="宋体"/>
                <w:color w:val="000000"/>
                <w:kern w:val="0"/>
                <w:sz w:val="24"/>
              </w:rPr>
            </w:pPr>
            <w:r>
              <w:rPr>
                <w:rFonts w:eastAsia="宋体"/>
                <w:color w:val="000000"/>
                <w:kern w:val="0"/>
                <w:sz w:val="24"/>
              </w:rPr>
              <w:t>2024072602</w:t>
            </w:r>
          </w:p>
        </w:tc>
        <w:tc>
          <w:tcPr>
            <w:tcW w:w="839" w:type="dxa"/>
            <w:tcBorders>
              <w:top w:val="nil"/>
              <w:left w:val="nil"/>
              <w:bottom w:val="single" w:color="auto" w:sz="4" w:space="0"/>
              <w:right w:val="single" w:color="auto" w:sz="4" w:space="0"/>
            </w:tcBorders>
            <w:shd w:val="clear" w:color="auto" w:fill="auto"/>
            <w:vAlign w:val="center"/>
          </w:tcPr>
          <w:p w14:paraId="214BFE62">
            <w:pPr>
              <w:widowControl/>
              <w:ind w:firstLine="0" w:firstLineChars="0"/>
              <w:jc w:val="center"/>
              <w:rPr>
                <w:rFonts w:eastAsia="宋体"/>
                <w:color w:val="000000"/>
                <w:kern w:val="0"/>
                <w:sz w:val="24"/>
              </w:rPr>
            </w:pPr>
            <w:r>
              <w:rPr>
                <w:rFonts w:eastAsia="宋体"/>
                <w:color w:val="000000"/>
                <w:kern w:val="0"/>
                <w:sz w:val="24"/>
              </w:rPr>
              <w:t>0.879</w:t>
            </w:r>
          </w:p>
        </w:tc>
        <w:tc>
          <w:tcPr>
            <w:tcW w:w="850" w:type="dxa"/>
            <w:tcBorders>
              <w:top w:val="nil"/>
              <w:left w:val="nil"/>
              <w:bottom w:val="single" w:color="auto" w:sz="4" w:space="0"/>
              <w:right w:val="single" w:color="auto" w:sz="4" w:space="0"/>
            </w:tcBorders>
            <w:shd w:val="clear" w:color="auto" w:fill="auto"/>
            <w:vAlign w:val="center"/>
          </w:tcPr>
          <w:p w14:paraId="0362D25A">
            <w:pPr>
              <w:widowControl/>
              <w:ind w:firstLine="0" w:firstLineChars="0"/>
              <w:jc w:val="center"/>
              <w:rPr>
                <w:rFonts w:eastAsia="宋体"/>
                <w:color w:val="000000"/>
                <w:kern w:val="0"/>
                <w:sz w:val="24"/>
              </w:rPr>
            </w:pPr>
            <w:r>
              <w:rPr>
                <w:rFonts w:eastAsia="宋体"/>
                <w:color w:val="000000"/>
                <w:kern w:val="0"/>
                <w:sz w:val="24"/>
              </w:rPr>
              <w:t>0.896</w:t>
            </w:r>
          </w:p>
        </w:tc>
        <w:tc>
          <w:tcPr>
            <w:tcW w:w="811" w:type="dxa"/>
            <w:tcBorders>
              <w:top w:val="nil"/>
              <w:left w:val="nil"/>
              <w:bottom w:val="single" w:color="auto" w:sz="4" w:space="0"/>
              <w:right w:val="single" w:color="auto" w:sz="4" w:space="0"/>
            </w:tcBorders>
            <w:shd w:val="clear" w:color="auto" w:fill="auto"/>
            <w:vAlign w:val="center"/>
          </w:tcPr>
          <w:p w14:paraId="6427AF1A">
            <w:pPr>
              <w:widowControl/>
              <w:ind w:firstLine="0" w:firstLineChars="0"/>
              <w:jc w:val="center"/>
              <w:rPr>
                <w:rFonts w:eastAsia="宋体"/>
                <w:color w:val="000000"/>
                <w:kern w:val="0"/>
                <w:sz w:val="24"/>
              </w:rPr>
            </w:pPr>
            <w:r>
              <w:rPr>
                <w:rFonts w:eastAsia="宋体"/>
                <w:color w:val="000000"/>
                <w:kern w:val="0"/>
                <w:sz w:val="24"/>
              </w:rPr>
              <w:t>0.871</w:t>
            </w:r>
          </w:p>
        </w:tc>
        <w:tc>
          <w:tcPr>
            <w:tcW w:w="851" w:type="dxa"/>
            <w:tcBorders>
              <w:top w:val="nil"/>
              <w:left w:val="nil"/>
              <w:bottom w:val="single" w:color="auto" w:sz="4" w:space="0"/>
              <w:right w:val="single" w:color="auto" w:sz="4" w:space="0"/>
            </w:tcBorders>
            <w:shd w:val="clear" w:color="auto" w:fill="auto"/>
            <w:vAlign w:val="center"/>
          </w:tcPr>
          <w:p w14:paraId="7FD2170B">
            <w:pPr>
              <w:widowControl/>
              <w:ind w:firstLine="0" w:firstLineChars="0"/>
              <w:jc w:val="center"/>
              <w:rPr>
                <w:rFonts w:eastAsia="宋体"/>
                <w:color w:val="000000"/>
                <w:kern w:val="0"/>
                <w:sz w:val="24"/>
              </w:rPr>
            </w:pPr>
            <w:r>
              <w:rPr>
                <w:rFonts w:eastAsia="宋体"/>
                <w:color w:val="000000"/>
                <w:kern w:val="0"/>
                <w:sz w:val="24"/>
              </w:rPr>
              <w:t>0.878</w:t>
            </w:r>
          </w:p>
        </w:tc>
        <w:tc>
          <w:tcPr>
            <w:tcW w:w="890" w:type="dxa"/>
            <w:tcBorders>
              <w:top w:val="nil"/>
              <w:left w:val="nil"/>
              <w:bottom w:val="single" w:color="auto" w:sz="4" w:space="0"/>
              <w:right w:val="single" w:color="auto" w:sz="4" w:space="0"/>
            </w:tcBorders>
            <w:shd w:val="clear" w:color="auto" w:fill="auto"/>
            <w:vAlign w:val="center"/>
          </w:tcPr>
          <w:p w14:paraId="7EB7E57D">
            <w:pPr>
              <w:widowControl/>
              <w:ind w:firstLine="0" w:firstLineChars="0"/>
              <w:jc w:val="center"/>
              <w:rPr>
                <w:rFonts w:eastAsia="宋体"/>
                <w:color w:val="000000"/>
                <w:kern w:val="0"/>
                <w:sz w:val="24"/>
              </w:rPr>
            </w:pPr>
            <w:r>
              <w:rPr>
                <w:rFonts w:eastAsia="宋体"/>
                <w:color w:val="000000"/>
                <w:kern w:val="0"/>
                <w:sz w:val="24"/>
              </w:rPr>
              <w:t>0.881</w:t>
            </w:r>
          </w:p>
        </w:tc>
        <w:tc>
          <w:tcPr>
            <w:tcW w:w="850" w:type="dxa"/>
            <w:tcBorders>
              <w:top w:val="nil"/>
              <w:left w:val="nil"/>
              <w:bottom w:val="single" w:color="auto" w:sz="4" w:space="0"/>
              <w:right w:val="single" w:color="auto" w:sz="4" w:space="0"/>
            </w:tcBorders>
            <w:shd w:val="clear" w:color="auto" w:fill="auto"/>
            <w:vAlign w:val="center"/>
          </w:tcPr>
          <w:p w14:paraId="0FC569C4">
            <w:pPr>
              <w:widowControl/>
              <w:ind w:firstLine="0" w:firstLineChars="0"/>
              <w:jc w:val="center"/>
              <w:rPr>
                <w:rFonts w:eastAsia="宋体"/>
                <w:color w:val="000000"/>
                <w:kern w:val="0"/>
                <w:sz w:val="24"/>
              </w:rPr>
            </w:pPr>
            <w:r>
              <w:rPr>
                <w:rFonts w:eastAsia="宋体"/>
                <w:color w:val="000000"/>
                <w:kern w:val="0"/>
                <w:sz w:val="24"/>
              </w:rPr>
              <w:t>1.2</w:t>
            </w:r>
          </w:p>
        </w:tc>
      </w:tr>
      <w:tr w14:paraId="0BEC3962">
        <w:tblPrEx>
          <w:tblCellMar>
            <w:top w:w="0" w:type="dxa"/>
            <w:left w:w="108" w:type="dxa"/>
            <w:bottom w:w="0" w:type="dxa"/>
            <w:right w:w="108" w:type="dxa"/>
          </w:tblCellMar>
        </w:tblPrEx>
        <w:trPr>
          <w:trHeight w:val="567" w:hRule="atLeast"/>
          <w:jc w:val="center"/>
        </w:trPr>
        <w:tc>
          <w:tcPr>
            <w:tcW w:w="722" w:type="dxa"/>
            <w:tcBorders>
              <w:top w:val="nil"/>
              <w:left w:val="single" w:color="auto" w:sz="4" w:space="0"/>
              <w:bottom w:val="single" w:color="auto" w:sz="4" w:space="0"/>
              <w:right w:val="single" w:color="auto" w:sz="4" w:space="0"/>
            </w:tcBorders>
            <w:shd w:val="clear" w:color="auto" w:fill="auto"/>
            <w:vAlign w:val="center"/>
          </w:tcPr>
          <w:p w14:paraId="6B18A73F">
            <w:pPr>
              <w:widowControl/>
              <w:ind w:firstLine="0" w:firstLineChars="0"/>
              <w:jc w:val="center"/>
              <w:rPr>
                <w:rFonts w:eastAsia="宋体"/>
                <w:color w:val="000000"/>
                <w:kern w:val="0"/>
                <w:sz w:val="24"/>
              </w:rPr>
            </w:pPr>
            <w:r>
              <w:rPr>
                <w:rFonts w:eastAsia="宋体"/>
                <w:color w:val="000000"/>
                <w:kern w:val="0"/>
                <w:sz w:val="24"/>
              </w:rPr>
              <w:t>2</w:t>
            </w:r>
          </w:p>
        </w:tc>
        <w:tc>
          <w:tcPr>
            <w:tcW w:w="1379" w:type="dxa"/>
            <w:tcBorders>
              <w:top w:val="nil"/>
              <w:left w:val="nil"/>
              <w:bottom w:val="single" w:color="auto" w:sz="4" w:space="0"/>
              <w:right w:val="single" w:color="auto" w:sz="4" w:space="0"/>
            </w:tcBorders>
            <w:shd w:val="clear" w:color="auto" w:fill="auto"/>
            <w:vAlign w:val="center"/>
          </w:tcPr>
          <w:p w14:paraId="0266A001">
            <w:pPr>
              <w:widowControl/>
              <w:ind w:firstLine="0" w:firstLineChars="0"/>
              <w:jc w:val="center"/>
              <w:rPr>
                <w:rFonts w:ascii="宋体" w:hAnsi="宋体" w:eastAsia="宋体" w:cs="宋体"/>
                <w:color w:val="000000"/>
                <w:kern w:val="0"/>
                <w:sz w:val="24"/>
              </w:rPr>
            </w:pPr>
            <w:r>
              <w:rPr>
                <w:rFonts w:hint="eastAsia" w:ascii="宋体" w:hAnsi="宋体" w:eastAsia="宋体" w:cs="宋体"/>
                <w:color w:val="000000"/>
                <w:kern w:val="0"/>
                <w:sz w:val="24"/>
              </w:rPr>
              <w:t>姜黄</w:t>
            </w:r>
          </w:p>
        </w:tc>
        <w:tc>
          <w:tcPr>
            <w:tcW w:w="1507" w:type="dxa"/>
            <w:tcBorders>
              <w:top w:val="nil"/>
              <w:left w:val="nil"/>
              <w:bottom w:val="single" w:color="auto" w:sz="4" w:space="0"/>
              <w:right w:val="single" w:color="auto" w:sz="4" w:space="0"/>
            </w:tcBorders>
            <w:shd w:val="clear" w:color="auto" w:fill="auto"/>
            <w:vAlign w:val="center"/>
          </w:tcPr>
          <w:p w14:paraId="26E021AF">
            <w:pPr>
              <w:widowControl/>
              <w:ind w:firstLine="0" w:firstLineChars="0"/>
              <w:jc w:val="center"/>
              <w:rPr>
                <w:rFonts w:eastAsia="宋体"/>
                <w:kern w:val="0"/>
                <w:sz w:val="24"/>
              </w:rPr>
            </w:pPr>
            <w:r>
              <w:rPr>
                <w:rFonts w:eastAsia="宋体"/>
                <w:kern w:val="0"/>
                <w:sz w:val="24"/>
              </w:rPr>
              <w:t>2024070801</w:t>
            </w:r>
          </w:p>
        </w:tc>
        <w:tc>
          <w:tcPr>
            <w:tcW w:w="839" w:type="dxa"/>
            <w:tcBorders>
              <w:top w:val="nil"/>
              <w:left w:val="nil"/>
              <w:bottom w:val="single" w:color="auto" w:sz="4" w:space="0"/>
              <w:right w:val="single" w:color="auto" w:sz="4" w:space="0"/>
            </w:tcBorders>
            <w:shd w:val="clear" w:color="auto" w:fill="auto"/>
            <w:vAlign w:val="center"/>
          </w:tcPr>
          <w:p w14:paraId="15CD76B6">
            <w:pPr>
              <w:widowControl/>
              <w:ind w:firstLine="0" w:firstLineChars="0"/>
              <w:jc w:val="center"/>
              <w:rPr>
                <w:rFonts w:eastAsia="宋体"/>
                <w:color w:val="000000"/>
                <w:kern w:val="0"/>
                <w:sz w:val="24"/>
              </w:rPr>
            </w:pPr>
            <w:r>
              <w:rPr>
                <w:rFonts w:eastAsia="宋体"/>
                <w:color w:val="000000"/>
                <w:kern w:val="0"/>
                <w:sz w:val="24"/>
              </w:rPr>
              <w:t>0.975</w:t>
            </w:r>
          </w:p>
        </w:tc>
        <w:tc>
          <w:tcPr>
            <w:tcW w:w="850" w:type="dxa"/>
            <w:tcBorders>
              <w:top w:val="nil"/>
              <w:left w:val="nil"/>
              <w:bottom w:val="single" w:color="auto" w:sz="4" w:space="0"/>
              <w:right w:val="single" w:color="auto" w:sz="4" w:space="0"/>
            </w:tcBorders>
            <w:shd w:val="clear" w:color="auto" w:fill="auto"/>
            <w:vAlign w:val="center"/>
          </w:tcPr>
          <w:p w14:paraId="2FEE62E6">
            <w:pPr>
              <w:widowControl/>
              <w:ind w:firstLine="0" w:firstLineChars="0"/>
              <w:jc w:val="center"/>
              <w:rPr>
                <w:rFonts w:eastAsia="宋体"/>
                <w:color w:val="000000"/>
                <w:kern w:val="0"/>
                <w:sz w:val="24"/>
              </w:rPr>
            </w:pPr>
            <w:r>
              <w:rPr>
                <w:rFonts w:eastAsia="宋体"/>
                <w:color w:val="000000"/>
                <w:kern w:val="0"/>
                <w:sz w:val="24"/>
              </w:rPr>
              <w:t>0.967</w:t>
            </w:r>
          </w:p>
        </w:tc>
        <w:tc>
          <w:tcPr>
            <w:tcW w:w="811" w:type="dxa"/>
            <w:tcBorders>
              <w:top w:val="nil"/>
              <w:left w:val="nil"/>
              <w:bottom w:val="single" w:color="auto" w:sz="4" w:space="0"/>
              <w:right w:val="single" w:color="auto" w:sz="4" w:space="0"/>
            </w:tcBorders>
            <w:shd w:val="clear" w:color="auto" w:fill="auto"/>
            <w:vAlign w:val="center"/>
          </w:tcPr>
          <w:p w14:paraId="567B7B78">
            <w:pPr>
              <w:widowControl/>
              <w:ind w:firstLine="0" w:firstLineChars="0"/>
              <w:jc w:val="center"/>
              <w:rPr>
                <w:rFonts w:eastAsia="宋体"/>
                <w:color w:val="000000"/>
                <w:kern w:val="0"/>
                <w:sz w:val="24"/>
              </w:rPr>
            </w:pPr>
            <w:r>
              <w:rPr>
                <w:rFonts w:eastAsia="宋体"/>
                <w:color w:val="000000"/>
                <w:kern w:val="0"/>
                <w:sz w:val="24"/>
              </w:rPr>
              <w:t>0.982</w:t>
            </w:r>
          </w:p>
        </w:tc>
        <w:tc>
          <w:tcPr>
            <w:tcW w:w="851" w:type="dxa"/>
            <w:tcBorders>
              <w:top w:val="nil"/>
              <w:left w:val="nil"/>
              <w:bottom w:val="single" w:color="auto" w:sz="4" w:space="0"/>
              <w:right w:val="single" w:color="auto" w:sz="4" w:space="0"/>
            </w:tcBorders>
            <w:shd w:val="clear" w:color="auto" w:fill="auto"/>
            <w:vAlign w:val="center"/>
          </w:tcPr>
          <w:p w14:paraId="553B59D7">
            <w:pPr>
              <w:widowControl/>
              <w:ind w:firstLine="0" w:firstLineChars="0"/>
              <w:jc w:val="center"/>
              <w:rPr>
                <w:rFonts w:eastAsia="宋体"/>
                <w:color w:val="000000"/>
                <w:kern w:val="0"/>
                <w:sz w:val="24"/>
              </w:rPr>
            </w:pPr>
            <w:r>
              <w:rPr>
                <w:rFonts w:eastAsia="宋体"/>
                <w:color w:val="000000"/>
                <w:kern w:val="0"/>
                <w:sz w:val="24"/>
              </w:rPr>
              <w:t>1.02</w:t>
            </w:r>
          </w:p>
        </w:tc>
        <w:tc>
          <w:tcPr>
            <w:tcW w:w="890" w:type="dxa"/>
            <w:tcBorders>
              <w:top w:val="nil"/>
              <w:left w:val="nil"/>
              <w:bottom w:val="single" w:color="auto" w:sz="4" w:space="0"/>
              <w:right w:val="single" w:color="auto" w:sz="4" w:space="0"/>
            </w:tcBorders>
            <w:shd w:val="clear" w:color="auto" w:fill="auto"/>
            <w:vAlign w:val="center"/>
          </w:tcPr>
          <w:p w14:paraId="2438A610">
            <w:pPr>
              <w:widowControl/>
              <w:ind w:firstLine="0" w:firstLineChars="0"/>
              <w:jc w:val="center"/>
              <w:rPr>
                <w:rFonts w:eastAsia="宋体"/>
                <w:color w:val="000000"/>
                <w:kern w:val="0"/>
                <w:sz w:val="24"/>
              </w:rPr>
            </w:pPr>
            <w:r>
              <w:rPr>
                <w:rFonts w:eastAsia="宋体"/>
                <w:color w:val="000000"/>
                <w:kern w:val="0"/>
                <w:sz w:val="24"/>
              </w:rPr>
              <w:t>0.986</w:t>
            </w:r>
          </w:p>
        </w:tc>
        <w:tc>
          <w:tcPr>
            <w:tcW w:w="850" w:type="dxa"/>
            <w:tcBorders>
              <w:top w:val="nil"/>
              <w:left w:val="nil"/>
              <w:bottom w:val="single" w:color="auto" w:sz="4" w:space="0"/>
              <w:right w:val="single" w:color="auto" w:sz="4" w:space="0"/>
            </w:tcBorders>
            <w:shd w:val="clear" w:color="auto" w:fill="auto"/>
            <w:vAlign w:val="center"/>
          </w:tcPr>
          <w:p w14:paraId="13E3EB92">
            <w:pPr>
              <w:widowControl/>
              <w:ind w:firstLine="0" w:firstLineChars="0"/>
              <w:jc w:val="center"/>
              <w:rPr>
                <w:rFonts w:eastAsia="宋体"/>
                <w:color w:val="000000"/>
                <w:kern w:val="0"/>
                <w:sz w:val="24"/>
              </w:rPr>
            </w:pPr>
            <w:r>
              <w:rPr>
                <w:rFonts w:eastAsia="宋体"/>
                <w:color w:val="000000"/>
                <w:kern w:val="0"/>
                <w:sz w:val="24"/>
              </w:rPr>
              <w:t>2.4</w:t>
            </w:r>
          </w:p>
        </w:tc>
      </w:tr>
      <w:tr w14:paraId="12F7A086">
        <w:tblPrEx>
          <w:tblCellMar>
            <w:top w:w="0" w:type="dxa"/>
            <w:left w:w="108" w:type="dxa"/>
            <w:bottom w:w="0" w:type="dxa"/>
            <w:right w:w="108" w:type="dxa"/>
          </w:tblCellMar>
        </w:tblPrEx>
        <w:trPr>
          <w:trHeight w:val="567" w:hRule="atLeast"/>
          <w:jc w:val="center"/>
        </w:trPr>
        <w:tc>
          <w:tcPr>
            <w:tcW w:w="722" w:type="dxa"/>
            <w:tcBorders>
              <w:top w:val="nil"/>
              <w:left w:val="single" w:color="auto" w:sz="4" w:space="0"/>
              <w:bottom w:val="single" w:color="auto" w:sz="4" w:space="0"/>
              <w:right w:val="single" w:color="auto" w:sz="4" w:space="0"/>
            </w:tcBorders>
            <w:shd w:val="clear" w:color="auto" w:fill="auto"/>
            <w:vAlign w:val="center"/>
          </w:tcPr>
          <w:p w14:paraId="66662706">
            <w:pPr>
              <w:widowControl/>
              <w:ind w:firstLine="0" w:firstLineChars="0"/>
              <w:jc w:val="center"/>
              <w:rPr>
                <w:rFonts w:eastAsia="宋体"/>
                <w:color w:val="000000"/>
                <w:kern w:val="0"/>
                <w:sz w:val="24"/>
              </w:rPr>
            </w:pPr>
            <w:r>
              <w:rPr>
                <w:rFonts w:eastAsia="宋体"/>
                <w:color w:val="000000"/>
                <w:kern w:val="0"/>
                <w:sz w:val="24"/>
              </w:rPr>
              <w:t>3</w:t>
            </w:r>
          </w:p>
        </w:tc>
        <w:tc>
          <w:tcPr>
            <w:tcW w:w="1379" w:type="dxa"/>
            <w:tcBorders>
              <w:top w:val="nil"/>
              <w:left w:val="nil"/>
              <w:bottom w:val="single" w:color="auto" w:sz="4" w:space="0"/>
              <w:right w:val="single" w:color="auto" w:sz="4" w:space="0"/>
            </w:tcBorders>
            <w:shd w:val="clear" w:color="auto" w:fill="auto"/>
            <w:vAlign w:val="center"/>
          </w:tcPr>
          <w:p w14:paraId="23EEFF5B">
            <w:pPr>
              <w:widowControl/>
              <w:ind w:firstLine="0" w:firstLineChars="0"/>
              <w:jc w:val="center"/>
              <w:rPr>
                <w:rFonts w:ascii="宋体" w:hAnsi="宋体" w:eastAsia="宋体" w:cs="宋体"/>
                <w:color w:val="000000"/>
                <w:kern w:val="0"/>
                <w:sz w:val="24"/>
              </w:rPr>
            </w:pPr>
            <w:r>
              <w:rPr>
                <w:rFonts w:hint="eastAsia" w:ascii="宋体" w:hAnsi="宋体" w:eastAsia="宋体" w:cs="宋体"/>
                <w:color w:val="000000"/>
                <w:kern w:val="0"/>
                <w:sz w:val="24"/>
              </w:rPr>
              <w:t>姜黄</w:t>
            </w:r>
          </w:p>
        </w:tc>
        <w:tc>
          <w:tcPr>
            <w:tcW w:w="1507" w:type="dxa"/>
            <w:tcBorders>
              <w:top w:val="nil"/>
              <w:left w:val="nil"/>
              <w:bottom w:val="single" w:color="auto" w:sz="4" w:space="0"/>
              <w:right w:val="single" w:color="auto" w:sz="4" w:space="0"/>
            </w:tcBorders>
            <w:shd w:val="clear" w:color="auto" w:fill="auto"/>
            <w:vAlign w:val="center"/>
          </w:tcPr>
          <w:p w14:paraId="638DC585">
            <w:pPr>
              <w:widowControl/>
              <w:ind w:firstLine="0" w:firstLineChars="0"/>
              <w:jc w:val="center"/>
              <w:rPr>
                <w:rFonts w:eastAsia="宋体"/>
                <w:kern w:val="0"/>
                <w:sz w:val="24"/>
              </w:rPr>
            </w:pPr>
            <w:r>
              <w:rPr>
                <w:rFonts w:eastAsia="宋体"/>
                <w:kern w:val="0"/>
                <w:sz w:val="24"/>
              </w:rPr>
              <w:t>2023030301</w:t>
            </w:r>
          </w:p>
        </w:tc>
        <w:tc>
          <w:tcPr>
            <w:tcW w:w="839" w:type="dxa"/>
            <w:tcBorders>
              <w:top w:val="nil"/>
              <w:left w:val="nil"/>
              <w:bottom w:val="single" w:color="auto" w:sz="4" w:space="0"/>
              <w:right w:val="single" w:color="auto" w:sz="4" w:space="0"/>
            </w:tcBorders>
            <w:shd w:val="clear" w:color="auto" w:fill="auto"/>
            <w:vAlign w:val="center"/>
          </w:tcPr>
          <w:p w14:paraId="70EDFCFC">
            <w:pPr>
              <w:widowControl/>
              <w:ind w:firstLine="0" w:firstLineChars="0"/>
              <w:jc w:val="center"/>
              <w:rPr>
                <w:rFonts w:eastAsia="宋体"/>
                <w:color w:val="000000"/>
                <w:kern w:val="0"/>
                <w:sz w:val="24"/>
              </w:rPr>
            </w:pPr>
            <w:r>
              <w:rPr>
                <w:rFonts w:eastAsia="宋体"/>
                <w:color w:val="000000"/>
                <w:kern w:val="0"/>
                <w:sz w:val="24"/>
              </w:rPr>
              <w:t>1.45</w:t>
            </w:r>
          </w:p>
        </w:tc>
        <w:tc>
          <w:tcPr>
            <w:tcW w:w="850" w:type="dxa"/>
            <w:tcBorders>
              <w:top w:val="nil"/>
              <w:left w:val="nil"/>
              <w:bottom w:val="single" w:color="auto" w:sz="4" w:space="0"/>
              <w:right w:val="single" w:color="auto" w:sz="4" w:space="0"/>
            </w:tcBorders>
            <w:shd w:val="clear" w:color="auto" w:fill="auto"/>
            <w:vAlign w:val="center"/>
          </w:tcPr>
          <w:p w14:paraId="585AA8F1">
            <w:pPr>
              <w:widowControl/>
              <w:ind w:firstLine="0" w:firstLineChars="0"/>
              <w:jc w:val="center"/>
              <w:rPr>
                <w:rFonts w:eastAsia="宋体"/>
                <w:color w:val="000000"/>
                <w:kern w:val="0"/>
                <w:sz w:val="24"/>
              </w:rPr>
            </w:pPr>
            <w:r>
              <w:rPr>
                <w:rFonts w:eastAsia="宋体"/>
                <w:color w:val="000000"/>
                <w:kern w:val="0"/>
                <w:sz w:val="24"/>
              </w:rPr>
              <w:t>1.5</w:t>
            </w:r>
            <w:r>
              <w:rPr>
                <w:rFonts w:hint="eastAsia" w:eastAsia="宋体"/>
                <w:color w:val="000000"/>
                <w:kern w:val="0"/>
                <w:sz w:val="24"/>
              </w:rPr>
              <w:t>0</w:t>
            </w:r>
          </w:p>
        </w:tc>
        <w:tc>
          <w:tcPr>
            <w:tcW w:w="811" w:type="dxa"/>
            <w:tcBorders>
              <w:top w:val="nil"/>
              <w:left w:val="nil"/>
              <w:bottom w:val="single" w:color="auto" w:sz="4" w:space="0"/>
              <w:right w:val="single" w:color="auto" w:sz="4" w:space="0"/>
            </w:tcBorders>
            <w:shd w:val="clear" w:color="auto" w:fill="auto"/>
            <w:vAlign w:val="center"/>
          </w:tcPr>
          <w:p w14:paraId="782F503A">
            <w:pPr>
              <w:widowControl/>
              <w:ind w:firstLine="0" w:firstLineChars="0"/>
              <w:jc w:val="center"/>
              <w:rPr>
                <w:rFonts w:eastAsia="宋体"/>
                <w:color w:val="000000"/>
                <w:kern w:val="0"/>
                <w:sz w:val="24"/>
              </w:rPr>
            </w:pPr>
            <w:r>
              <w:rPr>
                <w:rFonts w:eastAsia="宋体"/>
                <w:color w:val="000000"/>
                <w:kern w:val="0"/>
                <w:sz w:val="24"/>
              </w:rPr>
              <w:t>1.48</w:t>
            </w:r>
          </w:p>
        </w:tc>
        <w:tc>
          <w:tcPr>
            <w:tcW w:w="851" w:type="dxa"/>
            <w:tcBorders>
              <w:top w:val="nil"/>
              <w:left w:val="nil"/>
              <w:bottom w:val="single" w:color="auto" w:sz="4" w:space="0"/>
              <w:right w:val="single" w:color="auto" w:sz="4" w:space="0"/>
            </w:tcBorders>
            <w:shd w:val="clear" w:color="auto" w:fill="auto"/>
            <w:vAlign w:val="center"/>
          </w:tcPr>
          <w:p w14:paraId="7B202264">
            <w:pPr>
              <w:widowControl/>
              <w:ind w:firstLine="0" w:firstLineChars="0"/>
              <w:jc w:val="center"/>
              <w:rPr>
                <w:rFonts w:eastAsia="宋体"/>
                <w:kern w:val="0"/>
                <w:sz w:val="24"/>
              </w:rPr>
            </w:pPr>
            <w:r>
              <w:rPr>
                <w:rFonts w:eastAsia="宋体"/>
                <w:kern w:val="0"/>
                <w:sz w:val="24"/>
              </w:rPr>
              <w:t>1.41</w:t>
            </w:r>
          </w:p>
        </w:tc>
        <w:tc>
          <w:tcPr>
            <w:tcW w:w="890" w:type="dxa"/>
            <w:tcBorders>
              <w:top w:val="nil"/>
              <w:left w:val="nil"/>
              <w:bottom w:val="single" w:color="auto" w:sz="4" w:space="0"/>
              <w:right w:val="single" w:color="auto" w:sz="4" w:space="0"/>
            </w:tcBorders>
            <w:shd w:val="clear" w:color="auto" w:fill="auto"/>
            <w:vAlign w:val="center"/>
          </w:tcPr>
          <w:p w14:paraId="6E1603B9">
            <w:pPr>
              <w:widowControl/>
              <w:ind w:firstLine="0" w:firstLineChars="0"/>
              <w:jc w:val="center"/>
              <w:rPr>
                <w:rFonts w:eastAsia="宋体"/>
                <w:color w:val="000000"/>
                <w:kern w:val="0"/>
                <w:sz w:val="24"/>
              </w:rPr>
            </w:pPr>
            <w:r>
              <w:rPr>
                <w:rFonts w:eastAsia="宋体"/>
                <w:color w:val="000000"/>
                <w:kern w:val="0"/>
                <w:sz w:val="24"/>
              </w:rPr>
              <w:t>1.46</w:t>
            </w:r>
          </w:p>
        </w:tc>
        <w:tc>
          <w:tcPr>
            <w:tcW w:w="850" w:type="dxa"/>
            <w:tcBorders>
              <w:top w:val="nil"/>
              <w:left w:val="nil"/>
              <w:bottom w:val="single" w:color="auto" w:sz="4" w:space="0"/>
              <w:right w:val="single" w:color="auto" w:sz="4" w:space="0"/>
            </w:tcBorders>
            <w:shd w:val="clear" w:color="auto" w:fill="auto"/>
            <w:vAlign w:val="center"/>
          </w:tcPr>
          <w:p w14:paraId="1A87A3AE">
            <w:pPr>
              <w:widowControl/>
              <w:ind w:firstLine="0" w:firstLineChars="0"/>
              <w:jc w:val="center"/>
              <w:rPr>
                <w:rFonts w:eastAsia="宋体"/>
                <w:color w:val="000000"/>
                <w:kern w:val="0"/>
                <w:sz w:val="24"/>
              </w:rPr>
            </w:pPr>
            <w:r>
              <w:rPr>
                <w:rFonts w:eastAsia="宋体"/>
                <w:color w:val="000000"/>
                <w:kern w:val="0"/>
                <w:sz w:val="24"/>
              </w:rPr>
              <w:t>2.7</w:t>
            </w:r>
          </w:p>
        </w:tc>
      </w:tr>
      <w:tr w14:paraId="0398378B">
        <w:tblPrEx>
          <w:tblCellMar>
            <w:top w:w="0" w:type="dxa"/>
            <w:left w:w="108" w:type="dxa"/>
            <w:bottom w:w="0" w:type="dxa"/>
            <w:right w:w="108" w:type="dxa"/>
          </w:tblCellMar>
        </w:tblPrEx>
        <w:trPr>
          <w:trHeight w:val="567" w:hRule="atLeast"/>
          <w:jc w:val="center"/>
        </w:trPr>
        <w:tc>
          <w:tcPr>
            <w:tcW w:w="722" w:type="dxa"/>
            <w:tcBorders>
              <w:top w:val="nil"/>
              <w:left w:val="single" w:color="auto" w:sz="4" w:space="0"/>
              <w:bottom w:val="single" w:color="auto" w:sz="4" w:space="0"/>
              <w:right w:val="single" w:color="auto" w:sz="4" w:space="0"/>
            </w:tcBorders>
            <w:shd w:val="clear" w:color="auto" w:fill="auto"/>
            <w:vAlign w:val="center"/>
          </w:tcPr>
          <w:p w14:paraId="425A02C4">
            <w:pPr>
              <w:widowControl/>
              <w:ind w:firstLine="0" w:firstLineChars="0"/>
              <w:jc w:val="center"/>
              <w:rPr>
                <w:rFonts w:eastAsia="宋体"/>
                <w:color w:val="000000"/>
                <w:kern w:val="0"/>
                <w:sz w:val="24"/>
              </w:rPr>
            </w:pPr>
            <w:r>
              <w:rPr>
                <w:rFonts w:eastAsia="宋体"/>
                <w:color w:val="000000"/>
                <w:kern w:val="0"/>
                <w:sz w:val="24"/>
              </w:rPr>
              <w:t>4</w:t>
            </w:r>
          </w:p>
        </w:tc>
        <w:tc>
          <w:tcPr>
            <w:tcW w:w="1379" w:type="dxa"/>
            <w:tcBorders>
              <w:top w:val="nil"/>
              <w:left w:val="nil"/>
              <w:bottom w:val="single" w:color="auto" w:sz="4" w:space="0"/>
              <w:right w:val="single" w:color="auto" w:sz="4" w:space="0"/>
            </w:tcBorders>
            <w:shd w:val="clear" w:color="auto" w:fill="auto"/>
            <w:vAlign w:val="center"/>
          </w:tcPr>
          <w:p w14:paraId="7AEA95A7">
            <w:pPr>
              <w:widowControl/>
              <w:ind w:firstLine="0" w:firstLineChars="0"/>
              <w:jc w:val="center"/>
              <w:rPr>
                <w:rFonts w:ascii="宋体" w:hAnsi="宋体" w:eastAsia="宋体" w:cs="宋体"/>
                <w:color w:val="000000"/>
                <w:kern w:val="0"/>
                <w:sz w:val="24"/>
              </w:rPr>
            </w:pPr>
            <w:r>
              <w:rPr>
                <w:rFonts w:hint="eastAsia" w:ascii="宋体" w:hAnsi="宋体" w:eastAsia="宋体" w:cs="宋体"/>
                <w:color w:val="000000"/>
                <w:kern w:val="0"/>
                <w:sz w:val="24"/>
              </w:rPr>
              <w:t>姜黄</w:t>
            </w:r>
          </w:p>
        </w:tc>
        <w:tc>
          <w:tcPr>
            <w:tcW w:w="1507" w:type="dxa"/>
            <w:tcBorders>
              <w:top w:val="nil"/>
              <w:left w:val="nil"/>
              <w:bottom w:val="single" w:color="auto" w:sz="4" w:space="0"/>
              <w:right w:val="single" w:color="auto" w:sz="4" w:space="0"/>
            </w:tcBorders>
            <w:shd w:val="clear" w:color="auto" w:fill="auto"/>
            <w:vAlign w:val="center"/>
          </w:tcPr>
          <w:p w14:paraId="1916A427">
            <w:pPr>
              <w:widowControl/>
              <w:ind w:firstLine="0" w:firstLineChars="0"/>
              <w:jc w:val="center"/>
              <w:rPr>
                <w:rFonts w:eastAsia="宋体"/>
                <w:kern w:val="0"/>
                <w:sz w:val="24"/>
              </w:rPr>
            </w:pPr>
            <w:r>
              <w:rPr>
                <w:rFonts w:eastAsia="宋体"/>
                <w:kern w:val="0"/>
                <w:sz w:val="24"/>
              </w:rPr>
              <w:t>2408050002</w:t>
            </w:r>
          </w:p>
        </w:tc>
        <w:tc>
          <w:tcPr>
            <w:tcW w:w="839" w:type="dxa"/>
            <w:tcBorders>
              <w:top w:val="nil"/>
              <w:left w:val="nil"/>
              <w:bottom w:val="single" w:color="auto" w:sz="4" w:space="0"/>
              <w:right w:val="single" w:color="auto" w:sz="4" w:space="0"/>
            </w:tcBorders>
            <w:shd w:val="clear" w:color="auto" w:fill="auto"/>
            <w:vAlign w:val="center"/>
          </w:tcPr>
          <w:p w14:paraId="6376E56B">
            <w:pPr>
              <w:widowControl/>
              <w:ind w:firstLine="0" w:firstLineChars="0"/>
              <w:jc w:val="center"/>
              <w:rPr>
                <w:rFonts w:eastAsia="宋体"/>
                <w:color w:val="000000"/>
                <w:kern w:val="0"/>
                <w:sz w:val="24"/>
              </w:rPr>
            </w:pPr>
            <w:r>
              <w:rPr>
                <w:rFonts w:eastAsia="宋体"/>
                <w:color w:val="000000"/>
                <w:kern w:val="0"/>
                <w:sz w:val="24"/>
              </w:rPr>
              <w:t>0.0836</w:t>
            </w:r>
          </w:p>
        </w:tc>
        <w:tc>
          <w:tcPr>
            <w:tcW w:w="850" w:type="dxa"/>
            <w:tcBorders>
              <w:top w:val="nil"/>
              <w:left w:val="nil"/>
              <w:bottom w:val="single" w:color="auto" w:sz="4" w:space="0"/>
              <w:right w:val="single" w:color="auto" w:sz="4" w:space="0"/>
            </w:tcBorders>
            <w:shd w:val="clear" w:color="auto" w:fill="auto"/>
            <w:vAlign w:val="center"/>
          </w:tcPr>
          <w:p w14:paraId="0C5FBE57">
            <w:pPr>
              <w:widowControl/>
              <w:ind w:firstLine="0" w:firstLineChars="0"/>
              <w:jc w:val="center"/>
              <w:rPr>
                <w:rFonts w:eastAsia="宋体"/>
                <w:color w:val="000000"/>
                <w:kern w:val="0"/>
                <w:sz w:val="24"/>
              </w:rPr>
            </w:pPr>
            <w:r>
              <w:rPr>
                <w:rFonts w:eastAsia="宋体"/>
                <w:color w:val="000000"/>
                <w:kern w:val="0"/>
                <w:sz w:val="24"/>
              </w:rPr>
              <w:t>0.091</w:t>
            </w:r>
            <w:r>
              <w:rPr>
                <w:rFonts w:hint="eastAsia" w:eastAsia="宋体"/>
                <w:color w:val="000000"/>
                <w:kern w:val="0"/>
                <w:sz w:val="24"/>
              </w:rPr>
              <w:t>0</w:t>
            </w:r>
          </w:p>
        </w:tc>
        <w:tc>
          <w:tcPr>
            <w:tcW w:w="811" w:type="dxa"/>
            <w:tcBorders>
              <w:top w:val="nil"/>
              <w:left w:val="nil"/>
              <w:bottom w:val="single" w:color="auto" w:sz="4" w:space="0"/>
              <w:right w:val="single" w:color="auto" w:sz="4" w:space="0"/>
            </w:tcBorders>
            <w:shd w:val="clear" w:color="auto" w:fill="auto"/>
            <w:vAlign w:val="center"/>
          </w:tcPr>
          <w:p w14:paraId="7BC8BF3A">
            <w:pPr>
              <w:widowControl/>
              <w:ind w:firstLine="0" w:firstLineChars="0"/>
              <w:jc w:val="center"/>
              <w:rPr>
                <w:rFonts w:eastAsia="宋体"/>
                <w:color w:val="000000"/>
                <w:kern w:val="0"/>
                <w:sz w:val="24"/>
              </w:rPr>
            </w:pPr>
            <w:r>
              <w:rPr>
                <w:rFonts w:eastAsia="宋体"/>
                <w:color w:val="000000"/>
                <w:kern w:val="0"/>
                <w:sz w:val="24"/>
              </w:rPr>
              <w:t>0.0838</w:t>
            </w:r>
          </w:p>
        </w:tc>
        <w:tc>
          <w:tcPr>
            <w:tcW w:w="851" w:type="dxa"/>
            <w:tcBorders>
              <w:top w:val="nil"/>
              <w:left w:val="nil"/>
              <w:bottom w:val="single" w:color="auto" w:sz="4" w:space="0"/>
              <w:right w:val="single" w:color="auto" w:sz="4" w:space="0"/>
            </w:tcBorders>
            <w:shd w:val="clear" w:color="auto" w:fill="auto"/>
            <w:vAlign w:val="center"/>
          </w:tcPr>
          <w:p w14:paraId="27577E28">
            <w:pPr>
              <w:widowControl/>
              <w:ind w:firstLine="0" w:firstLineChars="0"/>
              <w:jc w:val="center"/>
              <w:rPr>
                <w:rFonts w:eastAsia="宋体"/>
                <w:color w:val="000000"/>
                <w:kern w:val="0"/>
                <w:sz w:val="24"/>
              </w:rPr>
            </w:pPr>
            <w:r>
              <w:rPr>
                <w:rFonts w:eastAsia="宋体"/>
                <w:color w:val="000000"/>
                <w:kern w:val="0"/>
                <w:sz w:val="24"/>
              </w:rPr>
              <w:t>0.0902</w:t>
            </w:r>
          </w:p>
        </w:tc>
        <w:tc>
          <w:tcPr>
            <w:tcW w:w="890" w:type="dxa"/>
            <w:tcBorders>
              <w:top w:val="nil"/>
              <w:left w:val="nil"/>
              <w:bottom w:val="single" w:color="auto" w:sz="4" w:space="0"/>
              <w:right w:val="single" w:color="auto" w:sz="4" w:space="0"/>
            </w:tcBorders>
            <w:shd w:val="clear" w:color="auto" w:fill="auto"/>
            <w:vAlign w:val="center"/>
          </w:tcPr>
          <w:p w14:paraId="078B4CFC">
            <w:pPr>
              <w:widowControl/>
              <w:ind w:firstLine="0" w:firstLineChars="0"/>
              <w:jc w:val="center"/>
              <w:rPr>
                <w:rFonts w:eastAsia="宋体"/>
                <w:color w:val="000000"/>
                <w:kern w:val="0"/>
                <w:sz w:val="24"/>
              </w:rPr>
            </w:pPr>
            <w:r>
              <w:rPr>
                <w:rFonts w:eastAsia="宋体"/>
                <w:color w:val="000000"/>
                <w:kern w:val="0"/>
                <w:sz w:val="24"/>
              </w:rPr>
              <w:t>0.0872</w:t>
            </w:r>
          </w:p>
        </w:tc>
        <w:tc>
          <w:tcPr>
            <w:tcW w:w="850" w:type="dxa"/>
            <w:tcBorders>
              <w:top w:val="nil"/>
              <w:left w:val="nil"/>
              <w:bottom w:val="single" w:color="auto" w:sz="4" w:space="0"/>
              <w:right w:val="single" w:color="auto" w:sz="4" w:space="0"/>
            </w:tcBorders>
            <w:shd w:val="clear" w:color="auto" w:fill="auto"/>
            <w:vAlign w:val="center"/>
          </w:tcPr>
          <w:p w14:paraId="0571031A">
            <w:pPr>
              <w:widowControl/>
              <w:ind w:firstLine="0" w:firstLineChars="0"/>
              <w:jc w:val="center"/>
              <w:rPr>
                <w:rFonts w:eastAsia="宋体"/>
                <w:color w:val="000000"/>
                <w:kern w:val="0"/>
                <w:sz w:val="24"/>
              </w:rPr>
            </w:pPr>
            <w:r>
              <w:rPr>
                <w:rFonts w:eastAsia="宋体"/>
                <w:color w:val="000000"/>
                <w:kern w:val="0"/>
                <w:sz w:val="24"/>
              </w:rPr>
              <w:t>4.6</w:t>
            </w:r>
          </w:p>
        </w:tc>
      </w:tr>
      <w:tr w14:paraId="6376FB8C">
        <w:tblPrEx>
          <w:tblCellMar>
            <w:top w:w="0" w:type="dxa"/>
            <w:left w:w="108" w:type="dxa"/>
            <w:bottom w:w="0" w:type="dxa"/>
            <w:right w:w="108" w:type="dxa"/>
          </w:tblCellMar>
        </w:tblPrEx>
        <w:trPr>
          <w:trHeight w:val="567" w:hRule="atLeast"/>
          <w:jc w:val="center"/>
        </w:trPr>
        <w:tc>
          <w:tcPr>
            <w:tcW w:w="722" w:type="dxa"/>
            <w:tcBorders>
              <w:top w:val="nil"/>
              <w:left w:val="single" w:color="auto" w:sz="4" w:space="0"/>
              <w:bottom w:val="single" w:color="auto" w:sz="4" w:space="0"/>
              <w:right w:val="single" w:color="auto" w:sz="4" w:space="0"/>
            </w:tcBorders>
            <w:shd w:val="clear" w:color="auto" w:fill="auto"/>
            <w:vAlign w:val="center"/>
          </w:tcPr>
          <w:p w14:paraId="7B884D4F">
            <w:pPr>
              <w:widowControl/>
              <w:ind w:firstLine="0" w:firstLineChars="0"/>
              <w:jc w:val="center"/>
              <w:rPr>
                <w:rFonts w:eastAsia="宋体"/>
                <w:color w:val="000000"/>
                <w:kern w:val="0"/>
                <w:sz w:val="24"/>
              </w:rPr>
            </w:pPr>
            <w:r>
              <w:rPr>
                <w:rFonts w:eastAsia="宋体"/>
                <w:color w:val="000000"/>
                <w:kern w:val="0"/>
                <w:sz w:val="24"/>
              </w:rPr>
              <w:t>5</w:t>
            </w:r>
          </w:p>
        </w:tc>
        <w:tc>
          <w:tcPr>
            <w:tcW w:w="1379" w:type="dxa"/>
            <w:tcBorders>
              <w:top w:val="nil"/>
              <w:left w:val="nil"/>
              <w:bottom w:val="single" w:color="auto" w:sz="4" w:space="0"/>
              <w:right w:val="single" w:color="auto" w:sz="4" w:space="0"/>
            </w:tcBorders>
            <w:shd w:val="clear" w:color="auto" w:fill="auto"/>
            <w:vAlign w:val="center"/>
          </w:tcPr>
          <w:p w14:paraId="1D1C575F">
            <w:pPr>
              <w:widowControl/>
              <w:ind w:firstLine="0" w:firstLineChars="0"/>
              <w:jc w:val="center"/>
              <w:rPr>
                <w:rFonts w:ascii="宋体" w:hAnsi="宋体" w:eastAsia="宋体" w:cs="宋体"/>
                <w:color w:val="000000"/>
                <w:kern w:val="0"/>
                <w:sz w:val="24"/>
              </w:rPr>
            </w:pPr>
            <w:r>
              <w:rPr>
                <w:rFonts w:hint="eastAsia" w:ascii="宋体" w:hAnsi="宋体" w:eastAsia="宋体" w:cs="宋体"/>
                <w:color w:val="000000"/>
                <w:kern w:val="0"/>
                <w:sz w:val="24"/>
              </w:rPr>
              <w:t>姜黄</w:t>
            </w:r>
          </w:p>
        </w:tc>
        <w:tc>
          <w:tcPr>
            <w:tcW w:w="1507" w:type="dxa"/>
            <w:tcBorders>
              <w:top w:val="nil"/>
              <w:left w:val="nil"/>
              <w:bottom w:val="single" w:color="auto" w:sz="4" w:space="0"/>
              <w:right w:val="single" w:color="auto" w:sz="4" w:space="0"/>
            </w:tcBorders>
            <w:shd w:val="clear" w:color="auto" w:fill="auto"/>
            <w:vAlign w:val="center"/>
          </w:tcPr>
          <w:p w14:paraId="565BB74C">
            <w:pPr>
              <w:widowControl/>
              <w:ind w:firstLine="0" w:firstLineChars="0"/>
              <w:jc w:val="center"/>
              <w:rPr>
                <w:rFonts w:eastAsia="宋体"/>
                <w:kern w:val="0"/>
                <w:sz w:val="24"/>
              </w:rPr>
            </w:pPr>
            <w:r>
              <w:rPr>
                <w:rFonts w:eastAsia="宋体"/>
                <w:kern w:val="0"/>
                <w:sz w:val="24"/>
              </w:rPr>
              <w:t>2024083001</w:t>
            </w:r>
          </w:p>
        </w:tc>
        <w:tc>
          <w:tcPr>
            <w:tcW w:w="839" w:type="dxa"/>
            <w:tcBorders>
              <w:top w:val="nil"/>
              <w:left w:val="nil"/>
              <w:bottom w:val="single" w:color="auto" w:sz="4" w:space="0"/>
              <w:right w:val="single" w:color="auto" w:sz="4" w:space="0"/>
            </w:tcBorders>
            <w:shd w:val="clear" w:color="auto" w:fill="auto"/>
            <w:vAlign w:val="center"/>
          </w:tcPr>
          <w:p w14:paraId="6D9725CC">
            <w:pPr>
              <w:widowControl/>
              <w:ind w:firstLine="0" w:firstLineChars="0"/>
              <w:jc w:val="center"/>
              <w:rPr>
                <w:rFonts w:eastAsia="宋体"/>
                <w:color w:val="000000"/>
                <w:kern w:val="0"/>
                <w:sz w:val="24"/>
              </w:rPr>
            </w:pPr>
            <w:r>
              <w:rPr>
                <w:rFonts w:eastAsia="宋体"/>
                <w:color w:val="000000"/>
                <w:kern w:val="0"/>
                <w:sz w:val="24"/>
              </w:rPr>
              <w:t>0.802</w:t>
            </w:r>
          </w:p>
        </w:tc>
        <w:tc>
          <w:tcPr>
            <w:tcW w:w="850" w:type="dxa"/>
            <w:tcBorders>
              <w:top w:val="nil"/>
              <w:left w:val="nil"/>
              <w:bottom w:val="single" w:color="auto" w:sz="4" w:space="0"/>
              <w:right w:val="single" w:color="auto" w:sz="4" w:space="0"/>
            </w:tcBorders>
            <w:shd w:val="clear" w:color="auto" w:fill="auto"/>
            <w:vAlign w:val="center"/>
          </w:tcPr>
          <w:p w14:paraId="5292CE60">
            <w:pPr>
              <w:widowControl/>
              <w:ind w:firstLine="0" w:firstLineChars="0"/>
              <w:jc w:val="center"/>
              <w:rPr>
                <w:rFonts w:eastAsia="宋体"/>
                <w:color w:val="000000"/>
                <w:kern w:val="0"/>
                <w:sz w:val="24"/>
              </w:rPr>
            </w:pPr>
            <w:r>
              <w:rPr>
                <w:rFonts w:eastAsia="宋体"/>
                <w:color w:val="000000"/>
                <w:kern w:val="0"/>
                <w:sz w:val="24"/>
              </w:rPr>
              <w:t>0.841</w:t>
            </w:r>
          </w:p>
        </w:tc>
        <w:tc>
          <w:tcPr>
            <w:tcW w:w="811" w:type="dxa"/>
            <w:tcBorders>
              <w:top w:val="nil"/>
              <w:left w:val="nil"/>
              <w:bottom w:val="single" w:color="auto" w:sz="4" w:space="0"/>
              <w:right w:val="single" w:color="auto" w:sz="4" w:space="0"/>
            </w:tcBorders>
            <w:shd w:val="clear" w:color="auto" w:fill="auto"/>
            <w:vAlign w:val="center"/>
          </w:tcPr>
          <w:p w14:paraId="618A9535">
            <w:pPr>
              <w:widowControl/>
              <w:ind w:firstLine="0" w:firstLineChars="0"/>
              <w:jc w:val="center"/>
              <w:rPr>
                <w:rFonts w:eastAsia="宋体"/>
                <w:color w:val="000000"/>
                <w:kern w:val="0"/>
                <w:sz w:val="24"/>
              </w:rPr>
            </w:pPr>
            <w:r>
              <w:rPr>
                <w:rFonts w:eastAsia="宋体"/>
                <w:color w:val="000000"/>
                <w:kern w:val="0"/>
                <w:sz w:val="24"/>
              </w:rPr>
              <w:t>0.851</w:t>
            </w:r>
          </w:p>
        </w:tc>
        <w:tc>
          <w:tcPr>
            <w:tcW w:w="851" w:type="dxa"/>
            <w:tcBorders>
              <w:top w:val="nil"/>
              <w:left w:val="nil"/>
              <w:bottom w:val="single" w:color="auto" w:sz="4" w:space="0"/>
              <w:right w:val="single" w:color="auto" w:sz="4" w:space="0"/>
            </w:tcBorders>
            <w:shd w:val="clear" w:color="auto" w:fill="auto"/>
            <w:vAlign w:val="center"/>
          </w:tcPr>
          <w:p w14:paraId="60503DCB">
            <w:pPr>
              <w:widowControl/>
              <w:ind w:firstLine="0" w:firstLineChars="0"/>
              <w:jc w:val="center"/>
              <w:rPr>
                <w:rFonts w:eastAsia="宋体"/>
                <w:color w:val="000000"/>
                <w:kern w:val="0"/>
                <w:sz w:val="24"/>
              </w:rPr>
            </w:pPr>
            <w:r>
              <w:rPr>
                <w:rFonts w:eastAsia="宋体"/>
                <w:color w:val="000000"/>
                <w:kern w:val="0"/>
                <w:sz w:val="24"/>
              </w:rPr>
              <w:t>0.829</w:t>
            </w:r>
          </w:p>
        </w:tc>
        <w:tc>
          <w:tcPr>
            <w:tcW w:w="890" w:type="dxa"/>
            <w:tcBorders>
              <w:top w:val="nil"/>
              <w:left w:val="nil"/>
              <w:bottom w:val="single" w:color="auto" w:sz="4" w:space="0"/>
              <w:right w:val="single" w:color="auto" w:sz="4" w:space="0"/>
            </w:tcBorders>
            <w:shd w:val="clear" w:color="auto" w:fill="auto"/>
            <w:vAlign w:val="center"/>
          </w:tcPr>
          <w:p w14:paraId="5A3FDC62">
            <w:pPr>
              <w:widowControl/>
              <w:ind w:firstLine="0" w:firstLineChars="0"/>
              <w:jc w:val="center"/>
              <w:rPr>
                <w:rFonts w:eastAsia="宋体"/>
                <w:color w:val="000000"/>
                <w:kern w:val="0"/>
                <w:sz w:val="24"/>
              </w:rPr>
            </w:pPr>
            <w:r>
              <w:rPr>
                <w:rFonts w:eastAsia="宋体"/>
                <w:color w:val="000000"/>
                <w:kern w:val="0"/>
                <w:sz w:val="24"/>
              </w:rPr>
              <w:t>0.831</w:t>
            </w:r>
          </w:p>
        </w:tc>
        <w:tc>
          <w:tcPr>
            <w:tcW w:w="850" w:type="dxa"/>
            <w:tcBorders>
              <w:top w:val="nil"/>
              <w:left w:val="nil"/>
              <w:bottom w:val="single" w:color="auto" w:sz="4" w:space="0"/>
              <w:right w:val="single" w:color="auto" w:sz="4" w:space="0"/>
            </w:tcBorders>
            <w:shd w:val="clear" w:color="auto" w:fill="auto"/>
            <w:vAlign w:val="center"/>
          </w:tcPr>
          <w:p w14:paraId="65840DB0">
            <w:pPr>
              <w:widowControl/>
              <w:ind w:firstLine="0" w:firstLineChars="0"/>
              <w:jc w:val="center"/>
              <w:rPr>
                <w:rFonts w:eastAsia="宋体"/>
                <w:color w:val="000000"/>
                <w:kern w:val="0"/>
                <w:sz w:val="24"/>
              </w:rPr>
            </w:pPr>
            <w:r>
              <w:rPr>
                <w:rFonts w:eastAsia="宋体"/>
                <w:color w:val="000000"/>
                <w:kern w:val="0"/>
                <w:sz w:val="24"/>
              </w:rPr>
              <w:t>2.5</w:t>
            </w:r>
          </w:p>
        </w:tc>
      </w:tr>
      <w:tr w14:paraId="5FC9DD3C">
        <w:tblPrEx>
          <w:tblCellMar>
            <w:top w:w="0" w:type="dxa"/>
            <w:left w:w="108" w:type="dxa"/>
            <w:bottom w:w="0" w:type="dxa"/>
            <w:right w:w="108" w:type="dxa"/>
          </w:tblCellMar>
        </w:tblPrEx>
        <w:trPr>
          <w:trHeight w:val="567" w:hRule="atLeast"/>
          <w:jc w:val="center"/>
        </w:trPr>
        <w:tc>
          <w:tcPr>
            <w:tcW w:w="722" w:type="dxa"/>
            <w:tcBorders>
              <w:top w:val="nil"/>
              <w:left w:val="single" w:color="auto" w:sz="4" w:space="0"/>
              <w:bottom w:val="single" w:color="auto" w:sz="4" w:space="0"/>
              <w:right w:val="single" w:color="auto" w:sz="4" w:space="0"/>
            </w:tcBorders>
            <w:shd w:val="clear" w:color="auto" w:fill="auto"/>
            <w:vAlign w:val="center"/>
          </w:tcPr>
          <w:p w14:paraId="551A368D">
            <w:pPr>
              <w:widowControl/>
              <w:ind w:firstLine="0" w:firstLineChars="0"/>
              <w:jc w:val="center"/>
              <w:rPr>
                <w:rFonts w:eastAsia="宋体"/>
                <w:color w:val="000000"/>
                <w:kern w:val="0"/>
                <w:sz w:val="24"/>
              </w:rPr>
            </w:pPr>
            <w:r>
              <w:rPr>
                <w:rFonts w:eastAsia="宋体"/>
                <w:color w:val="000000"/>
                <w:kern w:val="0"/>
                <w:sz w:val="24"/>
              </w:rPr>
              <w:t>6</w:t>
            </w:r>
          </w:p>
        </w:tc>
        <w:tc>
          <w:tcPr>
            <w:tcW w:w="1379" w:type="dxa"/>
            <w:tcBorders>
              <w:top w:val="nil"/>
              <w:left w:val="nil"/>
              <w:bottom w:val="single" w:color="auto" w:sz="4" w:space="0"/>
              <w:right w:val="single" w:color="auto" w:sz="4" w:space="0"/>
            </w:tcBorders>
            <w:shd w:val="clear" w:color="auto" w:fill="auto"/>
            <w:vAlign w:val="center"/>
          </w:tcPr>
          <w:p w14:paraId="2BC2FCA2">
            <w:pPr>
              <w:widowControl/>
              <w:ind w:firstLine="0" w:firstLineChars="0"/>
              <w:jc w:val="center"/>
              <w:rPr>
                <w:rFonts w:ascii="宋体" w:hAnsi="宋体" w:eastAsia="宋体" w:cs="宋体"/>
                <w:color w:val="000000"/>
                <w:kern w:val="0"/>
                <w:sz w:val="24"/>
              </w:rPr>
            </w:pPr>
            <w:r>
              <w:rPr>
                <w:rFonts w:hint="eastAsia" w:ascii="宋体" w:hAnsi="宋体" w:eastAsia="宋体" w:cs="宋体"/>
                <w:color w:val="000000"/>
                <w:kern w:val="0"/>
                <w:sz w:val="24"/>
              </w:rPr>
              <w:t>姜黄</w:t>
            </w:r>
          </w:p>
        </w:tc>
        <w:tc>
          <w:tcPr>
            <w:tcW w:w="1507" w:type="dxa"/>
            <w:tcBorders>
              <w:top w:val="nil"/>
              <w:left w:val="nil"/>
              <w:bottom w:val="single" w:color="auto" w:sz="4" w:space="0"/>
              <w:right w:val="single" w:color="auto" w:sz="4" w:space="0"/>
            </w:tcBorders>
            <w:shd w:val="clear" w:color="auto" w:fill="auto"/>
            <w:vAlign w:val="center"/>
          </w:tcPr>
          <w:p w14:paraId="0D8E964D">
            <w:pPr>
              <w:widowControl/>
              <w:ind w:firstLine="0" w:firstLineChars="0"/>
              <w:jc w:val="center"/>
              <w:rPr>
                <w:rFonts w:eastAsia="宋体"/>
                <w:color w:val="000000"/>
                <w:kern w:val="0"/>
                <w:sz w:val="24"/>
              </w:rPr>
            </w:pPr>
            <w:r>
              <w:rPr>
                <w:rFonts w:eastAsia="宋体"/>
                <w:color w:val="000000"/>
                <w:kern w:val="0"/>
                <w:sz w:val="24"/>
              </w:rPr>
              <w:t>2024101501</w:t>
            </w:r>
          </w:p>
        </w:tc>
        <w:tc>
          <w:tcPr>
            <w:tcW w:w="839" w:type="dxa"/>
            <w:tcBorders>
              <w:top w:val="nil"/>
              <w:left w:val="nil"/>
              <w:bottom w:val="single" w:color="auto" w:sz="4" w:space="0"/>
              <w:right w:val="single" w:color="auto" w:sz="4" w:space="0"/>
            </w:tcBorders>
            <w:shd w:val="clear" w:color="auto" w:fill="auto"/>
            <w:vAlign w:val="center"/>
          </w:tcPr>
          <w:p w14:paraId="6658781B">
            <w:pPr>
              <w:widowControl/>
              <w:ind w:firstLine="0" w:firstLineChars="0"/>
              <w:jc w:val="center"/>
              <w:rPr>
                <w:rFonts w:eastAsia="宋体"/>
                <w:color w:val="000000"/>
                <w:kern w:val="0"/>
                <w:sz w:val="24"/>
              </w:rPr>
            </w:pPr>
            <w:r>
              <w:rPr>
                <w:rFonts w:eastAsia="宋体"/>
                <w:color w:val="000000"/>
                <w:kern w:val="0"/>
                <w:sz w:val="24"/>
              </w:rPr>
              <w:t>1.62</w:t>
            </w:r>
          </w:p>
        </w:tc>
        <w:tc>
          <w:tcPr>
            <w:tcW w:w="850" w:type="dxa"/>
            <w:tcBorders>
              <w:top w:val="nil"/>
              <w:left w:val="nil"/>
              <w:bottom w:val="single" w:color="auto" w:sz="4" w:space="0"/>
              <w:right w:val="single" w:color="auto" w:sz="4" w:space="0"/>
            </w:tcBorders>
            <w:shd w:val="clear" w:color="auto" w:fill="auto"/>
            <w:vAlign w:val="center"/>
          </w:tcPr>
          <w:p w14:paraId="2C091AE0">
            <w:pPr>
              <w:widowControl/>
              <w:ind w:firstLine="0" w:firstLineChars="0"/>
              <w:jc w:val="center"/>
              <w:rPr>
                <w:rFonts w:eastAsia="宋体"/>
                <w:color w:val="000000"/>
                <w:kern w:val="0"/>
                <w:sz w:val="24"/>
              </w:rPr>
            </w:pPr>
            <w:r>
              <w:rPr>
                <w:rFonts w:eastAsia="宋体"/>
                <w:color w:val="000000"/>
                <w:kern w:val="0"/>
                <w:sz w:val="24"/>
              </w:rPr>
              <w:t>1.7</w:t>
            </w:r>
            <w:r>
              <w:rPr>
                <w:rFonts w:hint="eastAsia" w:eastAsia="宋体"/>
                <w:color w:val="000000"/>
                <w:kern w:val="0"/>
                <w:sz w:val="24"/>
              </w:rPr>
              <w:t>0</w:t>
            </w:r>
          </w:p>
        </w:tc>
        <w:tc>
          <w:tcPr>
            <w:tcW w:w="811" w:type="dxa"/>
            <w:tcBorders>
              <w:top w:val="nil"/>
              <w:left w:val="nil"/>
              <w:bottom w:val="single" w:color="auto" w:sz="4" w:space="0"/>
              <w:right w:val="single" w:color="auto" w:sz="4" w:space="0"/>
            </w:tcBorders>
            <w:shd w:val="clear" w:color="auto" w:fill="auto"/>
            <w:vAlign w:val="center"/>
          </w:tcPr>
          <w:p w14:paraId="641E3D71">
            <w:pPr>
              <w:widowControl/>
              <w:ind w:firstLine="0" w:firstLineChars="0"/>
              <w:jc w:val="center"/>
              <w:rPr>
                <w:rFonts w:eastAsia="宋体"/>
                <w:color w:val="000000"/>
                <w:kern w:val="0"/>
                <w:sz w:val="24"/>
              </w:rPr>
            </w:pPr>
            <w:r>
              <w:rPr>
                <w:rFonts w:eastAsia="宋体"/>
                <w:color w:val="000000"/>
                <w:kern w:val="0"/>
                <w:sz w:val="24"/>
              </w:rPr>
              <w:t>1.63</w:t>
            </w:r>
          </w:p>
        </w:tc>
        <w:tc>
          <w:tcPr>
            <w:tcW w:w="851" w:type="dxa"/>
            <w:tcBorders>
              <w:top w:val="nil"/>
              <w:left w:val="nil"/>
              <w:bottom w:val="single" w:color="auto" w:sz="4" w:space="0"/>
              <w:right w:val="single" w:color="auto" w:sz="4" w:space="0"/>
            </w:tcBorders>
            <w:shd w:val="clear" w:color="auto" w:fill="auto"/>
            <w:vAlign w:val="center"/>
          </w:tcPr>
          <w:p w14:paraId="6CEC70B1">
            <w:pPr>
              <w:widowControl/>
              <w:ind w:firstLine="0" w:firstLineChars="0"/>
              <w:jc w:val="center"/>
              <w:rPr>
                <w:rFonts w:eastAsia="宋体"/>
                <w:color w:val="000000"/>
                <w:kern w:val="0"/>
                <w:sz w:val="24"/>
              </w:rPr>
            </w:pPr>
            <w:r>
              <w:rPr>
                <w:rFonts w:eastAsia="宋体"/>
                <w:color w:val="000000"/>
                <w:kern w:val="0"/>
                <w:sz w:val="24"/>
              </w:rPr>
              <w:t>1.66</w:t>
            </w:r>
          </w:p>
        </w:tc>
        <w:tc>
          <w:tcPr>
            <w:tcW w:w="890" w:type="dxa"/>
            <w:tcBorders>
              <w:top w:val="nil"/>
              <w:left w:val="nil"/>
              <w:bottom w:val="single" w:color="auto" w:sz="4" w:space="0"/>
              <w:right w:val="single" w:color="auto" w:sz="4" w:space="0"/>
            </w:tcBorders>
            <w:shd w:val="clear" w:color="auto" w:fill="auto"/>
            <w:vAlign w:val="center"/>
          </w:tcPr>
          <w:p w14:paraId="025B6315">
            <w:pPr>
              <w:widowControl/>
              <w:ind w:firstLine="0" w:firstLineChars="0"/>
              <w:jc w:val="center"/>
              <w:rPr>
                <w:rFonts w:eastAsia="宋体"/>
                <w:color w:val="000000"/>
                <w:kern w:val="0"/>
                <w:sz w:val="24"/>
              </w:rPr>
            </w:pPr>
            <w:r>
              <w:rPr>
                <w:rFonts w:eastAsia="宋体"/>
                <w:color w:val="000000"/>
                <w:kern w:val="0"/>
                <w:sz w:val="24"/>
              </w:rPr>
              <w:t>1.65</w:t>
            </w:r>
          </w:p>
        </w:tc>
        <w:tc>
          <w:tcPr>
            <w:tcW w:w="850" w:type="dxa"/>
            <w:tcBorders>
              <w:top w:val="nil"/>
              <w:left w:val="nil"/>
              <w:bottom w:val="single" w:color="auto" w:sz="4" w:space="0"/>
              <w:right w:val="single" w:color="auto" w:sz="4" w:space="0"/>
            </w:tcBorders>
            <w:shd w:val="clear" w:color="auto" w:fill="auto"/>
            <w:vAlign w:val="center"/>
          </w:tcPr>
          <w:p w14:paraId="44F70EE8">
            <w:pPr>
              <w:widowControl/>
              <w:ind w:firstLine="0" w:firstLineChars="0"/>
              <w:jc w:val="center"/>
              <w:rPr>
                <w:rFonts w:eastAsia="宋体"/>
                <w:color w:val="000000"/>
                <w:kern w:val="0"/>
                <w:sz w:val="24"/>
              </w:rPr>
            </w:pPr>
            <w:r>
              <w:rPr>
                <w:rFonts w:eastAsia="宋体"/>
                <w:color w:val="000000"/>
                <w:kern w:val="0"/>
                <w:sz w:val="24"/>
              </w:rPr>
              <w:t>2.2</w:t>
            </w:r>
          </w:p>
        </w:tc>
      </w:tr>
      <w:tr w14:paraId="0AEA7A10">
        <w:tblPrEx>
          <w:tblCellMar>
            <w:top w:w="0" w:type="dxa"/>
            <w:left w:w="108" w:type="dxa"/>
            <w:bottom w:w="0" w:type="dxa"/>
            <w:right w:w="108" w:type="dxa"/>
          </w:tblCellMar>
        </w:tblPrEx>
        <w:trPr>
          <w:trHeight w:val="567" w:hRule="atLeast"/>
          <w:jc w:val="center"/>
        </w:trPr>
        <w:tc>
          <w:tcPr>
            <w:tcW w:w="722" w:type="dxa"/>
            <w:tcBorders>
              <w:top w:val="nil"/>
              <w:left w:val="single" w:color="auto" w:sz="4" w:space="0"/>
              <w:bottom w:val="single" w:color="auto" w:sz="4" w:space="0"/>
              <w:right w:val="single" w:color="auto" w:sz="4" w:space="0"/>
            </w:tcBorders>
            <w:shd w:val="clear" w:color="auto" w:fill="auto"/>
            <w:vAlign w:val="center"/>
          </w:tcPr>
          <w:p w14:paraId="004AC8BB">
            <w:pPr>
              <w:widowControl/>
              <w:ind w:firstLine="0" w:firstLineChars="0"/>
              <w:jc w:val="center"/>
              <w:rPr>
                <w:rFonts w:eastAsia="宋体"/>
                <w:color w:val="000000"/>
                <w:kern w:val="0"/>
                <w:sz w:val="24"/>
              </w:rPr>
            </w:pPr>
            <w:r>
              <w:rPr>
                <w:rFonts w:eastAsia="宋体"/>
                <w:color w:val="000000"/>
                <w:kern w:val="0"/>
                <w:sz w:val="24"/>
              </w:rPr>
              <w:t>7</w:t>
            </w:r>
          </w:p>
        </w:tc>
        <w:tc>
          <w:tcPr>
            <w:tcW w:w="1379" w:type="dxa"/>
            <w:tcBorders>
              <w:top w:val="nil"/>
              <w:left w:val="nil"/>
              <w:bottom w:val="single" w:color="auto" w:sz="4" w:space="0"/>
              <w:right w:val="single" w:color="auto" w:sz="4" w:space="0"/>
            </w:tcBorders>
            <w:shd w:val="clear" w:color="auto" w:fill="auto"/>
            <w:vAlign w:val="center"/>
          </w:tcPr>
          <w:p w14:paraId="39898A7A">
            <w:pPr>
              <w:widowControl/>
              <w:ind w:firstLine="0" w:firstLineChars="0"/>
              <w:jc w:val="center"/>
              <w:rPr>
                <w:rFonts w:ascii="宋体" w:hAnsi="宋体" w:eastAsia="宋体" w:cs="宋体"/>
                <w:color w:val="000000"/>
                <w:kern w:val="0"/>
                <w:sz w:val="24"/>
              </w:rPr>
            </w:pPr>
            <w:r>
              <w:rPr>
                <w:rFonts w:hint="eastAsia" w:ascii="宋体" w:hAnsi="宋体" w:eastAsia="宋体" w:cs="宋体"/>
                <w:color w:val="000000"/>
                <w:kern w:val="0"/>
                <w:sz w:val="24"/>
              </w:rPr>
              <w:t>姜黄制品（姜黄粉）</w:t>
            </w:r>
          </w:p>
        </w:tc>
        <w:tc>
          <w:tcPr>
            <w:tcW w:w="1507" w:type="dxa"/>
            <w:tcBorders>
              <w:top w:val="nil"/>
              <w:left w:val="nil"/>
              <w:bottom w:val="single" w:color="auto" w:sz="4" w:space="0"/>
              <w:right w:val="single" w:color="auto" w:sz="4" w:space="0"/>
            </w:tcBorders>
            <w:shd w:val="clear" w:color="auto" w:fill="auto"/>
            <w:vAlign w:val="center"/>
          </w:tcPr>
          <w:p w14:paraId="4165EC6E">
            <w:pPr>
              <w:widowControl/>
              <w:ind w:firstLine="0" w:firstLineChars="0"/>
              <w:jc w:val="center"/>
              <w:rPr>
                <w:rFonts w:eastAsia="宋体"/>
                <w:color w:val="000000"/>
                <w:kern w:val="0"/>
                <w:sz w:val="24"/>
              </w:rPr>
            </w:pPr>
            <w:r>
              <w:rPr>
                <w:rFonts w:eastAsia="宋体"/>
                <w:color w:val="000000"/>
                <w:kern w:val="0"/>
                <w:sz w:val="24"/>
              </w:rPr>
              <w:t>2023050902</w:t>
            </w:r>
          </w:p>
        </w:tc>
        <w:tc>
          <w:tcPr>
            <w:tcW w:w="839" w:type="dxa"/>
            <w:tcBorders>
              <w:top w:val="nil"/>
              <w:left w:val="nil"/>
              <w:bottom w:val="single" w:color="auto" w:sz="4" w:space="0"/>
              <w:right w:val="single" w:color="auto" w:sz="4" w:space="0"/>
            </w:tcBorders>
            <w:shd w:val="clear" w:color="auto" w:fill="auto"/>
            <w:vAlign w:val="center"/>
          </w:tcPr>
          <w:p w14:paraId="0FCE8AF3">
            <w:pPr>
              <w:widowControl/>
              <w:ind w:firstLine="0" w:firstLineChars="0"/>
              <w:jc w:val="center"/>
              <w:rPr>
                <w:rFonts w:eastAsia="宋体"/>
                <w:color w:val="000000"/>
                <w:kern w:val="0"/>
                <w:sz w:val="24"/>
              </w:rPr>
            </w:pPr>
            <w:r>
              <w:rPr>
                <w:rFonts w:eastAsia="宋体"/>
                <w:color w:val="000000"/>
                <w:kern w:val="0"/>
                <w:sz w:val="24"/>
              </w:rPr>
              <w:t>0.415</w:t>
            </w:r>
          </w:p>
        </w:tc>
        <w:tc>
          <w:tcPr>
            <w:tcW w:w="850" w:type="dxa"/>
            <w:tcBorders>
              <w:top w:val="nil"/>
              <w:left w:val="nil"/>
              <w:bottom w:val="single" w:color="auto" w:sz="4" w:space="0"/>
              <w:right w:val="single" w:color="auto" w:sz="4" w:space="0"/>
            </w:tcBorders>
            <w:shd w:val="clear" w:color="auto" w:fill="auto"/>
            <w:vAlign w:val="center"/>
          </w:tcPr>
          <w:p w14:paraId="53B8168B">
            <w:pPr>
              <w:widowControl/>
              <w:ind w:firstLine="0" w:firstLineChars="0"/>
              <w:jc w:val="center"/>
              <w:rPr>
                <w:rFonts w:eastAsia="宋体"/>
                <w:color w:val="000000"/>
                <w:kern w:val="0"/>
                <w:sz w:val="24"/>
              </w:rPr>
            </w:pPr>
            <w:r>
              <w:rPr>
                <w:rFonts w:eastAsia="宋体"/>
                <w:color w:val="000000"/>
                <w:kern w:val="0"/>
                <w:sz w:val="24"/>
              </w:rPr>
              <w:t>0.424</w:t>
            </w:r>
          </w:p>
        </w:tc>
        <w:tc>
          <w:tcPr>
            <w:tcW w:w="811" w:type="dxa"/>
            <w:tcBorders>
              <w:top w:val="nil"/>
              <w:left w:val="nil"/>
              <w:bottom w:val="single" w:color="auto" w:sz="4" w:space="0"/>
              <w:right w:val="single" w:color="auto" w:sz="4" w:space="0"/>
            </w:tcBorders>
            <w:shd w:val="clear" w:color="auto" w:fill="auto"/>
            <w:vAlign w:val="center"/>
          </w:tcPr>
          <w:p w14:paraId="3D79B46B">
            <w:pPr>
              <w:widowControl/>
              <w:ind w:firstLine="0" w:firstLineChars="0"/>
              <w:jc w:val="center"/>
              <w:rPr>
                <w:rFonts w:eastAsia="宋体"/>
                <w:color w:val="000000"/>
                <w:kern w:val="0"/>
                <w:sz w:val="24"/>
              </w:rPr>
            </w:pPr>
            <w:r>
              <w:rPr>
                <w:rFonts w:eastAsia="宋体"/>
                <w:color w:val="000000"/>
                <w:kern w:val="0"/>
                <w:sz w:val="24"/>
              </w:rPr>
              <w:t>0.432</w:t>
            </w:r>
          </w:p>
        </w:tc>
        <w:tc>
          <w:tcPr>
            <w:tcW w:w="851" w:type="dxa"/>
            <w:tcBorders>
              <w:top w:val="nil"/>
              <w:left w:val="nil"/>
              <w:bottom w:val="single" w:color="auto" w:sz="4" w:space="0"/>
              <w:right w:val="single" w:color="auto" w:sz="4" w:space="0"/>
            </w:tcBorders>
            <w:shd w:val="clear" w:color="auto" w:fill="auto"/>
            <w:vAlign w:val="center"/>
          </w:tcPr>
          <w:p w14:paraId="14C2FD06">
            <w:pPr>
              <w:widowControl/>
              <w:ind w:firstLine="0" w:firstLineChars="0"/>
              <w:jc w:val="center"/>
              <w:rPr>
                <w:rFonts w:eastAsia="宋体"/>
                <w:color w:val="000000"/>
                <w:kern w:val="0"/>
                <w:sz w:val="24"/>
              </w:rPr>
            </w:pPr>
            <w:r>
              <w:rPr>
                <w:rFonts w:eastAsia="宋体"/>
                <w:color w:val="000000"/>
                <w:kern w:val="0"/>
                <w:sz w:val="24"/>
              </w:rPr>
              <w:t>0.422</w:t>
            </w:r>
          </w:p>
        </w:tc>
        <w:tc>
          <w:tcPr>
            <w:tcW w:w="890" w:type="dxa"/>
            <w:tcBorders>
              <w:top w:val="nil"/>
              <w:left w:val="nil"/>
              <w:bottom w:val="single" w:color="auto" w:sz="4" w:space="0"/>
              <w:right w:val="single" w:color="auto" w:sz="4" w:space="0"/>
            </w:tcBorders>
            <w:shd w:val="clear" w:color="auto" w:fill="auto"/>
            <w:vAlign w:val="center"/>
          </w:tcPr>
          <w:p w14:paraId="13DB8458">
            <w:pPr>
              <w:widowControl/>
              <w:ind w:firstLine="0" w:firstLineChars="0"/>
              <w:jc w:val="center"/>
              <w:rPr>
                <w:rFonts w:eastAsia="宋体"/>
                <w:color w:val="000000"/>
                <w:kern w:val="0"/>
                <w:sz w:val="24"/>
              </w:rPr>
            </w:pPr>
            <w:r>
              <w:rPr>
                <w:rFonts w:eastAsia="宋体"/>
                <w:color w:val="000000"/>
                <w:kern w:val="0"/>
                <w:sz w:val="24"/>
              </w:rPr>
              <w:t>0.423</w:t>
            </w:r>
          </w:p>
        </w:tc>
        <w:tc>
          <w:tcPr>
            <w:tcW w:w="850" w:type="dxa"/>
            <w:tcBorders>
              <w:top w:val="nil"/>
              <w:left w:val="nil"/>
              <w:bottom w:val="single" w:color="auto" w:sz="4" w:space="0"/>
              <w:right w:val="single" w:color="auto" w:sz="4" w:space="0"/>
            </w:tcBorders>
            <w:shd w:val="clear" w:color="auto" w:fill="auto"/>
            <w:vAlign w:val="center"/>
          </w:tcPr>
          <w:p w14:paraId="55ADF970">
            <w:pPr>
              <w:widowControl/>
              <w:ind w:firstLine="0" w:firstLineChars="0"/>
              <w:jc w:val="center"/>
              <w:rPr>
                <w:rFonts w:eastAsia="宋体"/>
                <w:color w:val="000000"/>
                <w:kern w:val="0"/>
                <w:sz w:val="24"/>
              </w:rPr>
            </w:pPr>
            <w:r>
              <w:rPr>
                <w:rFonts w:eastAsia="宋体"/>
                <w:color w:val="000000"/>
                <w:kern w:val="0"/>
                <w:sz w:val="24"/>
              </w:rPr>
              <w:t>1.7</w:t>
            </w:r>
          </w:p>
        </w:tc>
      </w:tr>
      <w:tr w14:paraId="23E2B1BC">
        <w:tblPrEx>
          <w:tblCellMar>
            <w:top w:w="0" w:type="dxa"/>
            <w:left w:w="108" w:type="dxa"/>
            <w:bottom w:w="0" w:type="dxa"/>
            <w:right w:w="108" w:type="dxa"/>
          </w:tblCellMar>
        </w:tblPrEx>
        <w:trPr>
          <w:trHeight w:val="567" w:hRule="atLeast"/>
          <w:jc w:val="center"/>
        </w:trPr>
        <w:tc>
          <w:tcPr>
            <w:tcW w:w="722" w:type="dxa"/>
            <w:tcBorders>
              <w:top w:val="nil"/>
              <w:left w:val="single" w:color="auto" w:sz="4" w:space="0"/>
              <w:bottom w:val="single" w:color="auto" w:sz="4" w:space="0"/>
              <w:right w:val="single" w:color="auto" w:sz="4" w:space="0"/>
            </w:tcBorders>
            <w:shd w:val="clear" w:color="auto" w:fill="auto"/>
            <w:vAlign w:val="center"/>
          </w:tcPr>
          <w:p w14:paraId="77349B46">
            <w:pPr>
              <w:widowControl/>
              <w:ind w:firstLine="0" w:firstLineChars="0"/>
              <w:jc w:val="center"/>
              <w:rPr>
                <w:rFonts w:eastAsia="宋体"/>
                <w:color w:val="000000"/>
                <w:kern w:val="0"/>
                <w:sz w:val="24"/>
              </w:rPr>
            </w:pPr>
            <w:r>
              <w:rPr>
                <w:rFonts w:eastAsia="宋体"/>
                <w:color w:val="000000"/>
                <w:kern w:val="0"/>
                <w:sz w:val="24"/>
              </w:rPr>
              <w:t>8</w:t>
            </w:r>
          </w:p>
        </w:tc>
        <w:tc>
          <w:tcPr>
            <w:tcW w:w="1379" w:type="dxa"/>
            <w:tcBorders>
              <w:top w:val="nil"/>
              <w:left w:val="nil"/>
              <w:bottom w:val="single" w:color="auto" w:sz="4" w:space="0"/>
              <w:right w:val="single" w:color="auto" w:sz="4" w:space="0"/>
            </w:tcBorders>
            <w:shd w:val="clear" w:color="auto" w:fill="auto"/>
            <w:vAlign w:val="center"/>
          </w:tcPr>
          <w:p w14:paraId="3EC89059">
            <w:pPr>
              <w:widowControl/>
              <w:ind w:firstLine="0" w:firstLineChars="0"/>
              <w:jc w:val="center"/>
              <w:rPr>
                <w:rFonts w:ascii="宋体" w:hAnsi="宋体" w:eastAsia="宋体" w:cs="宋体"/>
                <w:color w:val="000000"/>
                <w:kern w:val="0"/>
                <w:sz w:val="24"/>
              </w:rPr>
            </w:pPr>
            <w:r>
              <w:rPr>
                <w:rFonts w:hint="eastAsia" w:ascii="宋体" w:hAnsi="宋体" w:eastAsia="宋体" w:cs="宋体"/>
                <w:color w:val="000000"/>
                <w:kern w:val="0"/>
                <w:sz w:val="24"/>
              </w:rPr>
              <w:t>姜黄制品（姜黄粉）</w:t>
            </w:r>
          </w:p>
        </w:tc>
        <w:tc>
          <w:tcPr>
            <w:tcW w:w="1507" w:type="dxa"/>
            <w:tcBorders>
              <w:top w:val="nil"/>
              <w:left w:val="nil"/>
              <w:bottom w:val="single" w:color="auto" w:sz="4" w:space="0"/>
              <w:right w:val="single" w:color="auto" w:sz="4" w:space="0"/>
            </w:tcBorders>
            <w:shd w:val="clear" w:color="auto" w:fill="auto"/>
            <w:vAlign w:val="center"/>
          </w:tcPr>
          <w:p w14:paraId="76D6A238">
            <w:pPr>
              <w:widowControl/>
              <w:ind w:firstLine="0" w:firstLineChars="0"/>
              <w:jc w:val="center"/>
              <w:rPr>
                <w:rFonts w:eastAsia="宋体"/>
                <w:color w:val="000000"/>
                <w:kern w:val="0"/>
                <w:sz w:val="24"/>
              </w:rPr>
            </w:pPr>
            <w:r>
              <w:rPr>
                <w:rFonts w:eastAsia="宋体"/>
                <w:color w:val="000000"/>
                <w:kern w:val="0"/>
                <w:sz w:val="24"/>
              </w:rPr>
              <w:t>2024071701</w:t>
            </w:r>
          </w:p>
        </w:tc>
        <w:tc>
          <w:tcPr>
            <w:tcW w:w="839" w:type="dxa"/>
            <w:tcBorders>
              <w:top w:val="nil"/>
              <w:left w:val="nil"/>
              <w:bottom w:val="single" w:color="auto" w:sz="4" w:space="0"/>
              <w:right w:val="single" w:color="auto" w:sz="4" w:space="0"/>
            </w:tcBorders>
            <w:shd w:val="clear" w:color="auto" w:fill="auto"/>
            <w:vAlign w:val="center"/>
          </w:tcPr>
          <w:p w14:paraId="6548D7FA">
            <w:pPr>
              <w:widowControl/>
              <w:ind w:firstLine="0" w:firstLineChars="0"/>
              <w:jc w:val="center"/>
              <w:rPr>
                <w:rFonts w:eastAsia="宋体"/>
                <w:color w:val="000000"/>
                <w:kern w:val="0"/>
                <w:sz w:val="24"/>
              </w:rPr>
            </w:pPr>
            <w:r>
              <w:rPr>
                <w:rFonts w:eastAsia="宋体"/>
                <w:color w:val="000000"/>
                <w:kern w:val="0"/>
                <w:sz w:val="24"/>
              </w:rPr>
              <w:t>0.95</w:t>
            </w:r>
            <w:r>
              <w:rPr>
                <w:rFonts w:hint="eastAsia" w:eastAsia="宋体"/>
                <w:color w:val="000000"/>
                <w:kern w:val="0"/>
                <w:sz w:val="24"/>
              </w:rPr>
              <w:t>0</w:t>
            </w:r>
          </w:p>
        </w:tc>
        <w:tc>
          <w:tcPr>
            <w:tcW w:w="850" w:type="dxa"/>
            <w:tcBorders>
              <w:top w:val="nil"/>
              <w:left w:val="nil"/>
              <w:bottom w:val="single" w:color="auto" w:sz="4" w:space="0"/>
              <w:right w:val="single" w:color="auto" w:sz="4" w:space="0"/>
            </w:tcBorders>
            <w:shd w:val="clear" w:color="auto" w:fill="auto"/>
            <w:vAlign w:val="center"/>
          </w:tcPr>
          <w:p w14:paraId="70AF5737">
            <w:pPr>
              <w:widowControl/>
              <w:ind w:firstLine="0" w:firstLineChars="0"/>
              <w:jc w:val="center"/>
              <w:rPr>
                <w:rFonts w:eastAsia="宋体"/>
                <w:color w:val="000000"/>
                <w:kern w:val="0"/>
                <w:sz w:val="24"/>
              </w:rPr>
            </w:pPr>
            <w:r>
              <w:rPr>
                <w:rFonts w:eastAsia="宋体"/>
                <w:color w:val="000000"/>
                <w:kern w:val="0"/>
                <w:sz w:val="24"/>
              </w:rPr>
              <w:t>0.976</w:t>
            </w:r>
          </w:p>
        </w:tc>
        <w:tc>
          <w:tcPr>
            <w:tcW w:w="811" w:type="dxa"/>
            <w:tcBorders>
              <w:top w:val="nil"/>
              <w:left w:val="nil"/>
              <w:bottom w:val="single" w:color="auto" w:sz="4" w:space="0"/>
              <w:right w:val="single" w:color="auto" w:sz="4" w:space="0"/>
            </w:tcBorders>
            <w:shd w:val="clear" w:color="auto" w:fill="auto"/>
            <w:vAlign w:val="center"/>
          </w:tcPr>
          <w:p w14:paraId="7AE065BD">
            <w:pPr>
              <w:widowControl/>
              <w:ind w:firstLine="0" w:firstLineChars="0"/>
              <w:jc w:val="center"/>
              <w:rPr>
                <w:rFonts w:eastAsia="宋体"/>
                <w:color w:val="000000"/>
                <w:kern w:val="0"/>
                <w:sz w:val="24"/>
              </w:rPr>
            </w:pPr>
            <w:r>
              <w:rPr>
                <w:rFonts w:eastAsia="宋体"/>
                <w:color w:val="000000"/>
                <w:kern w:val="0"/>
                <w:sz w:val="24"/>
              </w:rPr>
              <w:t>0.949</w:t>
            </w:r>
          </w:p>
        </w:tc>
        <w:tc>
          <w:tcPr>
            <w:tcW w:w="851" w:type="dxa"/>
            <w:tcBorders>
              <w:top w:val="nil"/>
              <w:left w:val="nil"/>
              <w:bottom w:val="single" w:color="auto" w:sz="4" w:space="0"/>
              <w:right w:val="single" w:color="auto" w:sz="4" w:space="0"/>
            </w:tcBorders>
            <w:shd w:val="clear" w:color="auto" w:fill="auto"/>
            <w:vAlign w:val="center"/>
          </w:tcPr>
          <w:p w14:paraId="5A296747">
            <w:pPr>
              <w:widowControl/>
              <w:ind w:firstLine="0" w:firstLineChars="0"/>
              <w:jc w:val="center"/>
              <w:rPr>
                <w:rFonts w:eastAsia="宋体"/>
                <w:color w:val="000000"/>
                <w:kern w:val="0"/>
                <w:sz w:val="24"/>
              </w:rPr>
            </w:pPr>
            <w:r>
              <w:rPr>
                <w:rFonts w:eastAsia="宋体"/>
                <w:color w:val="000000"/>
                <w:kern w:val="0"/>
                <w:sz w:val="24"/>
              </w:rPr>
              <w:t>0.949</w:t>
            </w:r>
          </w:p>
        </w:tc>
        <w:tc>
          <w:tcPr>
            <w:tcW w:w="890" w:type="dxa"/>
            <w:tcBorders>
              <w:top w:val="nil"/>
              <w:left w:val="nil"/>
              <w:bottom w:val="single" w:color="auto" w:sz="4" w:space="0"/>
              <w:right w:val="single" w:color="auto" w:sz="4" w:space="0"/>
            </w:tcBorders>
            <w:shd w:val="clear" w:color="auto" w:fill="auto"/>
            <w:vAlign w:val="center"/>
          </w:tcPr>
          <w:p w14:paraId="43E55260">
            <w:pPr>
              <w:widowControl/>
              <w:ind w:firstLine="0" w:firstLineChars="0"/>
              <w:jc w:val="center"/>
              <w:rPr>
                <w:rFonts w:eastAsia="宋体"/>
                <w:color w:val="000000"/>
                <w:kern w:val="0"/>
                <w:sz w:val="24"/>
              </w:rPr>
            </w:pPr>
            <w:r>
              <w:rPr>
                <w:rFonts w:eastAsia="宋体"/>
                <w:color w:val="000000"/>
                <w:kern w:val="0"/>
                <w:sz w:val="24"/>
              </w:rPr>
              <w:t>0.956</w:t>
            </w:r>
          </w:p>
        </w:tc>
        <w:tc>
          <w:tcPr>
            <w:tcW w:w="850" w:type="dxa"/>
            <w:tcBorders>
              <w:top w:val="nil"/>
              <w:left w:val="nil"/>
              <w:bottom w:val="single" w:color="auto" w:sz="4" w:space="0"/>
              <w:right w:val="single" w:color="auto" w:sz="4" w:space="0"/>
            </w:tcBorders>
            <w:shd w:val="clear" w:color="auto" w:fill="auto"/>
            <w:vAlign w:val="center"/>
          </w:tcPr>
          <w:p w14:paraId="072A691B">
            <w:pPr>
              <w:widowControl/>
              <w:ind w:firstLine="0" w:firstLineChars="0"/>
              <w:jc w:val="center"/>
              <w:rPr>
                <w:rFonts w:eastAsia="宋体"/>
                <w:color w:val="000000"/>
                <w:kern w:val="0"/>
                <w:sz w:val="24"/>
              </w:rPr>
            </w:pPr>
            <w:r>
              <w:rPr>
                <w:rFonts w:eastAsia="宋体"/>
                <w:color w:val="000000"/>
                <w:kern w:val="0"/>
                <w:sz w:val="24"/>
              </w:rPr>
              <w:t>1.4</w:t>
            </w:r>
          </w:p>
        </w:tc>
      </w:tr>
      <w:tr w14:paraId="50F1D20F">
        <w:tblPrEx>
          <w:tblCellMar>
            <w:top w:w="0" w:type="dxa"/>
            <w:left w:w="108" w:type="dxa"/>
            <w:bottom w:w="0" w:type="dxa"/>
            <w:right w:w="108" w:type="dxa"/>
          </w:tblCellMar>
        </w:tblPrEx>
        <w:trPr>
          <w:trHeight w:val="567" w:hRule="atLeast"/>
          <w:jc w:val="center"/>
        </w:trPr>
        <w:tc>
          <w:tcPr>
            <w:tcW w:w="722" w:type="dxa"/>
            <w:tcBorders>
              <w:top w:val="nil"/>
              <w:left w:val="single" w:color="auto" w:sz="4" w:space="0"/>
              <w:bottom w:val="single" w:color="auto" w:sz="4" w:space="0"/>
              <w:right w:val="single" w:color="auto" w:sz="4" w:space="0"/>
            </w:tcBorders>
            <w:shd w:val="clear" w:color="auto" w:fill="auto"/>
            <w:vAlign w:val="center"/>
          </w:tcPr>
          <w:p w14:paraId="5B527E96">
            <w:pPr>
              <w:widowControl/>
              <w:ind w:firstLine="0" w:firstLineChars="0"/>
              <w:jc w:val="center"/>
              <w:rPr>
                <w:rFonts w:eastAsia="宋体"/>
                <w:color w:val="000000"/>
                <w:kern w:val="0"/>
                <w:sz w:val="24"/>
              </w:rPr>
            </w:pPr>
            <w:r>
              <w:rPr>
                <w:rFonts w:eastAsia="宋体"/>
                <w:color w:val="000000"/>
                <w:kern w:val="0"/>
                <w:sz w:val="24"/>
              </w:rPr>
              <w:t>9</w:t>
            </w:r>
          </w:p>
        </w:tc>
        <w:tc>
          <w:tcPr>
            <w:tcW w:w="1379" w:type="dxa"/>
            <w:tcBorders>
              <w:top w:val="nil"/>
              <w:left w:val="nil"/>
              <w:bottom w:val="single" w:color="auto" w:sz="4" w:space="0"/>
              <w:right w:val="single" w:color="auto" w:sz="4" w:space="0"/>
            </w:tcBorders>
            <w:shd w:val="clear" w:color="auto" w:fill="auto"/>
            <w:vAlign w:val="center"/>
          </w:tcPr>
          <w:p w14:paraId="5E7F2D3B">
            <w:pPr>
              <w:widowControl/>
              <w:ind w:firstLine="0" w:firstLineChars="0"/>
              <w:jc w:val="center"/>
              <w:rPr>
                <w:rFonts w:ascii="宋体" w:hAnsi="宋体" w:eastAsia="宋体" w:cs="宋体"/>
                <w:color w:val="000000"/>
                <w:kern w:val="0"/>
                <w:sz w:val="24"/>
              </w:rPr>
            </w:pPr>
            <w:r>
              <w:rPr>
                <w:rFonts w:hint="eastAsia" w:ascii="宋体" w:hAnsi="宋体" w:eastAsia="宋体" w:cs="宋体"/>
                <w:color w:val="000000"/>
                <w:kern w:val="0"/>
                <w:sz w:val="24"/>
              </w:rPr>
              <w:t>姜黄制品（姜黄粉）</w:t>
            </w:r>
          </w:p>
        </w:tc>
        <w:tc>
          <w:tcPr>
            <w:tcW w:w="1507" w:type="dxa"/>
            <w:tcBorders>
              <w:top w:val="nil"/>
              <w:left w:val="nil"/>
              <w:bottom w:val="single" w:color="auto" w:sz="4" w:space="0"/>
              <w:right w:val="single" w:color="auto" w:sz="4" w:space="0"/>
            </w:tcBorders>
            <w:shd w:val="clear" w:color="auto" w:fill="auto"/>
            <w:vAlign w:val="center"/>
          </w:tcPr>
          <w:p w14:paraId="6DD1F535">
            <w:pPr>
              <w:widowControl/>
              <w:ind w:firstLine="0" w:firstLineChars="0"/>
              <w:jc w:val="center"/>
              <w:rPr>
                <w:rFonts w:eastAsia="宋体"/>
                <w:color w:val="000000"/>
                <w:kern w:val="0"/>
                <w:sz w:val="24"/>
              </w:rPr>
            </w:pPr>
            <w:r>
              <w:rPr>
                <w:rFonts w:eastAsia="宋体"/>
                <w:color w:val="000000"/>
                <w:kern w:val="0"/>
                <w:sz w:val="24"/>
              </w:rPr>
              <w:t>BXH20230801-04</w:t>
            </w:r>
          </w:p>
        </w:tc>
        <w:tc>
          <w:tcPr>
            <w:tcW w:w="839" w:type="dxa"/>
            <w:tcBorders>
              <w:top w:val="nil"/>
              <w:left w:val="nil"/>
              <w:bottom w:val="single" w:color="auto" w:sz="4" w:space="0"/>
              <w:right w:val="single" w:color="auto" w:sz="4" w:space="0"/>
            </w:tcBorders>
            <w:shd w:val="clear" w:color="auto" w:fill="auto"/>
            <w:vAlign w:val="center"/>
          </w:tcPr>
          <w:p w14:paraId="51BE515B">
            <w:pPr>
              <w:widowControl/>
              <w:ind w:firstLine="0" w:firstLineChars="0"/>
              <w:jc w:val="center"/>
              <w:rPr>
                <w:rFonts w:eastAsia="宋体"/>
                <w:color w:val="000000"/>
                <w:kern w:val="0"/>
                <w:sz w:val="24"/>
              </w:rPr>
            </w:pPr>
            <w:r>
              <w:rPr>
                <w:rFonts w:eastAsia="宋体"/>
                <w:color w:val="000000"/>
                <w:kern w:val="0"/>
                <w:sz w:val="24"/>
              </w:rPr>
              <w:t>0.839</w:t>
            </w:r>
          </w:p>
        </w:tc>
        <w:tc>
          <w:tcPr>
            <w:tcW w:w="850" w:type="dxa"/>
            <w:tcBorders>
              <w:top w:val="nil"/>
              <w:left w:val="nil"/>
              <w:bottom w:val="single" w:color="auto" w:sz="4" w:space="0"/>
              <w:right w:val="single" w:color="auto" w:sz="4" w:space="0"/>
            </w:tcBorders>
            <w:shd w:val="clear" w:color="auto" w:fill="auto"/>
            <w:vAlign w:val="center"/>
          </w:tcPr>
          <w:p w14:paraId="67A888E6">
            <w:pPr>
              <w:widowControl/>
              <w:ind w:firstLine="0" w:firstLineChars="0"/>
              <w:jc w:val="center"/>
              <w:rPr>
                <w:rFonts w:eastAsia="宋体"/>
                <w:color w:val="000000"/>
                <w:kern w:val="0"/>
                <w:sz w:val="24"/>
              </w:rPr>
            </w:pPr>
            <w:r>
              <w:rPr>
                <w:rFonts w:eastAsia="宋体"/>
                <w:color w:val="000000"/>
                <w:kern w:val="0"/>
                <w:sz w:val="24"/>
              </w:rPr>
              <w:t>0.888</w:t>
            </w:r>
          </w:p>
        </w:tc>
        <w:tc>
          <w:tcPr>
            <w:tcW w:w="811" w:type="dxa"/>
            <w:tcBorders>
              <w:top w:val="nil"/>
              <w:left w:val="nil"/>
              <w:bottom w:val="single" w:color="auto" w:sz="4" w:space="0"/>
              <w:right w:val="single" w:color="auto" w:sz="4" w:space="0"/>
            </w:tcBorders>
            <w:shd w:val="clear" w:color="auto" w:fill="auto"/>
            <w:vAlign w:val="center"/>
          </w:tcPr>
          <w:p w14:paraId="5C72BC20">
            <w:pPr>
              <w:widowControl/>
              <w:ind w:firstLine="0" w:firstLineChars="0"/>
              <w:jc w:val="center"/>
              <w:rPr>
                <w:rFonts w:eastAsia="宋体"/>
                <w:color w:val="000000"/>
                <w:kern w:val="0"/>
                <w:sz w:val="24"/>
              </w:rPr>
            </w:pPr>
            <w:r>
              <w:rPr>
                <w:rFonts w:eastAsia="宋体"/>
                <w:color w:val="000000"/>
                <w:kern w:val="0"/>
                <w:sz w:val="24"/>
              </w:rPr>
              <w:t>0.867</w:t>
            </w:r>
          </w:p>
        </w:tc>
        <w:tc>
          <w:tcPr>
            <w:tcW w:w="851" w:type="dxa"/>
            <w:tcBorders>
              <w:top w:val="nil"/>
              <w:left w:val="nil"/>
              <w:bottom w:val="single" w:color="auto" w:sz="4" w:space="0"/>
              <w:right w:val="single" w:color="auto" w:sz="4" w:space="0"/>
            </w:tcBorders>
            <w:shd w:val="clear" w:color="auto" w:fill="auto"/>
            <w:vAlign w:val="center"/>
          </w:tcPr>
          <w:p w14:paraId="3EF87A7F">
            <w:pPr>
              <w:widowControl/>
              <w:ind w:firstLine="0" w:firstLineChars="0"/>
              <w:jc w:val="center"/>
              <w:rPr>
                <w:rFonts w:eastAsia="宋体"/>
                <w:color w:val="000000"/>
                <w:kern w:val="0"/>
                <w:sz w:val="24"/>
              </w:rPr>
            </w:pPr>
            <w:r>
              <w:rPr>
                <w:rFonts w:eastAsia="宋体"/>
                <w:color w:val="000000"/>
                <w:kern w:val="0"/>
                <w:sz w:val="24"/>
              </w:rPr>
              <w:t>0.849</w:t>
            </w:r>
          </w:p>
        </w:tc>
        <w:tc>
          <w:tcPr>
            <w:tcW w:w="890" w:type="dxa"/>
            <w:tcBorders>
              <w:top w:val="nil"/>
              <w:left w:val="nil"/>
              <w:bottom w:val="single" w:color="auto" w:sz="4" w:space="0"/>
              <w:right w:val="single" w:color="auto" w:sz="4" w:space="0"/>
            </w:tcBorders>
            <w:shd w:val="clear" w:color="auto" w:fill="auto"/>
            <w:vAlign w:val="center"/>
          </w:tcPr>
          <w:p w14:paraId="04309313">
            <w:pPr>
              <w:widowControl/>
              <w:ind w:firstLine="0" w:firstLineChars="0"/>
              <w:jc w:val="center"/>
              <w:rPr>
                <w:rFonts w:eastAsia="宋体"/>
                <w:color w:val="000000"/>
                <w:kern w:val="0"/>
                <w:sz w:val="24"/>
              </w:rPr>
            </w:pPr>
            <w:r>
              <w:rPr>
                <w:rFonts w:eastAsia="宋体"/>
                <w:color w:val="000000"/>
                <w:kern w:val="0"/>
                <w:sz w:val="24"/>
              </w:rPr>
              <w:t>0.861</w:t>
            </w:r>
          </w:p>
        </w:tc>
        <w:tc>
          <w:tcPr>
            <w:tcW w:w="850" w:type="dxa"/>
            <w:tcBorders>
              <w:top w:val="nil"/>
              <w:left w:val="nil"/>
              <w:bottom w:val="single" w:color="auto" w:sz="4" w:space="0"/>
              <w:right w:val="single" w:color="auto" w:sz="4" w:space="0"/>
            </w:tcBorders>
            <w:shd w:val="clear" w:color="auto" w:fill="auto"/>
            <w:vAlign w:val="center"/>
          </w:tcPr>
          <w:p w14:paraId="6B52D662">
            <w:pPr>
              <w:widowControl/>
              <w:ind w:firstLine="0" w:firstLineChars="0"/>
              <w:jc w:val="center"/>
              <w:rPr>
                <w:rFonts w:eastAsia="宋体"/>
                <w:color w:val="000000"/>
                <w:kern w:val="0"/>
                <w:sz w:val="24"/>
              </w:rPr>
            </w:pPr>
            <w:r>
              <w:rPr>
                <w:rFonts w:eastAsia="宋体"/>
                <w:color w:val="000000"/>
                <w:kern w:val="0"/>
                <w:sz w:val="24"/>
              </w:rPr>
              <w:t>2.5</w:t>
            </w:r>
          </w:p>
        </w:tc>
      </w:tr>
      <w:tr w14:paraId="7D5D74A3">
        <w:tblPrEx>
          <w:tblCellMar>
            <w:top w:w="0" w:type="dxa"/>
            <w:left w:w="108" w:type="dxa"/>
            <w:bottom w:w="0" w:type="dxa"/>
            <w:right w:w="108" w:type="dxa"/>
          </w:tblCellMar>
        </w:tblPrEx>
        <w:trPr>
          <w:trHeight w:val="567" w:hRule="atLeast"/>
          <w:jc w:val="center"/>
        </w:trPr>
        <w:tc>
          <w:tcPr>
            <w:tcW w:w="722" w:type="dxa"/>
            <w:tcBorders>
              <w:top w:val="nil"/>
              <w:left w:val="single" w:color="auto" w:sz="4" w:space="0"/>
              <w:bottom w:val="single" w:color="auto" w:sz="4" w:space="0"/>
              <w:right w:val="single" w:color="auto" w:sz="4" w:space="0"/>
            </w:tcBorders>
            <w:shd w:val="clear" w:color="auto" w:fill="auto"/>
            <w:vAlign w:val="center"/>
          </w:tcPr>
          <w:p w14:paraId="66A781D8">
            <w:pPr>
              <w:widowControl/>
              <w:ind w:firstLine="0" w:firstLineChars="0"/>
              <w:jc w:val="center"/>
              <w:rPr>
                <w:rFonts w:eastAsia="宋体"/>
                <w:color w:val="000000"/>
                <w:kern w:val="0"/>
                <w:sz w:val="24"/>
              </w:rPr>
            </w:pPr>
            <w:r>
              <w:rPr>
                <w:rFonts w:eastAsia="宋体"/>
                <w:color w:val="000000"/>
                <w:kern w:val="0"/>
                <w:sz w:val="24"/>
              </w:rPr>
              <w:t>10</w:t>
            </w:r>
          </w:p>
        </w:tc>
        <w:tc>
          <w:tcPr>
            <w:tcW w:w="1379" w:type="dxa"/>
            <w:tcBorders>
              <w:top w:val="nil"/>
              <w:left w:val="nil"/>
              <w:bottom w:val="single" w:color="auto" w:sz="4" w:space="0"/>
              <w:right w:val="single" w:color="auto" w:sz="4" w:space="0"/>
            </w:tcBorders>
            <w:shd w:val="clear" w:color="auto" w:fill="auto"/>
            <w:vAlign w:val="center"/>
          </w:tcPr>
          <w:p w14:paraId="71D655C5">
            <w:pPr>
              <w:widowControl/>
              <w:ind w:firstLine="0" w:firstLineChars="0"/>
              <w:jc w:val="center"/>
              <w:rPr>
                <w:rFonts w:ascii="宋体" w:hAnsi="宋体" w:eastAsia="宋体" w:cs="宋体"/>
                <w:color w:val="000000"/>
                <w:kern w:val="0"/>
                <w:sz w:val="24"/>
              </w:rPr>
            </w:pPr>
            <w:r>
              <w:rPr>
                <w:rFonts w:hint="eastAsia" w:ascii="宋体" w:hAnsi="宋体" w:eastAsia="宋体" w:cs="宋体"/>
                <w:color w:val="000000"/>
                <w:kern w:val="0"/>
                <w:sz w:val="24"/>
              </w:rPr>
              <w:t>姜黄制品（咖喱粉）</w:t>
            </w:r>
          </w:p>
        </w:tc>
        <w:tc>
          <w:tcPr>
            <w:tcW w:w="1507" w:type="dxa"/>
            <w:tcBorders>
              <w:top w:val="nil"/>
              <w:left w:val="nil"/>
              <w:bottom w:val="single" w:color="auto" w:sz="4" w:space="0"/>
              <w:right w:val="single" w:color="auto" w:sz="4" w:space="0"/>
            </w:tcBorders>
            <w:shd w:val="clear" w:color="auto" w:fill="auto"/>
            <w:vAlign w:val="center"/>
          </w:tcPr>
          <w:p w14:paraId="320E5F1B">
            <w:pPr>
              <w:widowControl/>
              <w:ind w:firstLine="0" w:firstLineChars="0"/>
              <w:jc w:val="center"/>
              <w:rPr>
                <w:rFonts w:eastAsia="宋体"/>
                <w:color w:val="000000"/>
                <w:kern w:val="0"/>
                <w:sz w:val="24"/>
              </w:rPr>
            </w:pPr>
            <w:r>
              <w:rPr>
                <w:rFonts w:eastAsia="宋体"/>
                <w:color w:val="000000"/>
                <w:kern w:val="0"/>
                <w:sz w:val="24"/>
              </w:rPr>
              <w:t>20240621005</w:t>
            </w:r>
          </w:p>
        </w:tc>
        <w:tc>
          <w:tcPr>
            <w:tcW w:w="839" w:type="dxa"/>
            <w:tcBorders>
              <w:top w:val="nil"/>
              <w:left w:val="nil"/>
              <w:bottom w:val="single" w:color="auto" w:sz="4" w:space="0"/>
              <w:right w:val="single" w:color="auto" w:sz="4" w:space="0"/>
            </w:tcBorders>
            <w:shd w:val="clear" w:color="auto" w:fill="auto"/>
            <w:vAlign w:val="center"/>
          </w:tcPr>
          <w:p w14:paraId="075E5BE4">
            <w:pPr>
              <w:widowControl/>
              <w:ind w:firstLine="0" w:firstLineChars="0"/>
              <w:jc w:val="center"/>
              <w:rPr>
                <w:rFonts w:eastAsia="宋体"/>
                <w:color w:val="000000"/>
                <w:kern w:val="0"/>
                <w:sz w:val="24"/>
              </w:rPr>
            </w:pPr>
            <w:r>
              <w:rPr>
                <w:rFonts w:eastAsia="宋体"/>
                <w:color w:val="000000"/>
                <w:kern w:val="0"/>
                <w:sz w:val="24"/>
              </w:rPr>
              <w:t>0.48</w:t>
            </w:r>
            <w:r>
              <w:rPr>
                <w:rFonts w:hint="eastAsia" w:eastAsia="宋体"/>
                <w:color w:val="000000"/>
                <w:kern w:val="0"/>
                <w:sz w:val="24"/>
              </w:rPr>
              <w:t>0</w:t>
            </w:r>
          </w:p>
        </w:tc>
        <w:tc>
          <w:tcPr>
            <w:tcW w:w="850" w:type="dxa"/>
            <w:tcBorders>
              <w:top w:val="nil"/>
              <w:left w:val="nil"/>
              <w:bottom w:val="single" w:color="auto" w:sz="4" w:space="0"/>
              <w:right w:val="single" w:color="auto" w:sz="4" w:space="0"/>
            </w:tcBorders>
            <w:shd w:val="clear" w:color="auto" w:fill="auto"/>
            <w:vAlign w:val="center"/>
          </w:tcPr>
          <w:p w14:paraId="23095224">
            <w:pPr>
              <w:widowControl/>
              <w:ind w:firstLine="0" w:firstLineChars="0"/>
              <w:jc w:val="center"/>
              <w:rPr>
                <w:rFonts w:eastAsia="宋体"/>
                <w:color w:val="000000"/>
                <w:kern w:val="0"/>
                <w:sz w:val="24"/>
              </w:rPr>
            </w:pPr>
            <w:r>
              <w:rPr>
                <w:rFonts w:eastAsia="宋体"/>
                <w:color w:val="000000"/>
                <w:kern w:val="0"/>
                <w:sz w:val="24"/>
              </w:rPr>
              <w:t>0.484</w:t>
            </w:r>
          </w:p>
        </w:tc>
        <w:tc>
          <w:tcPr>
            <w:tcW w:w="811" w:type="dxa"/>
            <w:tcBorders>
              <w:top w:val="nil"/>
              <w:left w:val="nil"/>
              <w:bottom w:val="single" w:color="auto" w:sz="4" w:space="0"/>
              <w:right w:val="single" w:color="auto" w:sz="4" w:space="0"/>
            </w:tcBorders>
            <w:shd w:val="clear" w:color="auto" w:fill="auto"/>
            <w:vAlign w:val="center"/>
          </w:tcPr>
          <w:p w14:paraId="43B63DB0">
            <w:pPr>
              <w:widowControl/>
              <w:ind w:firstLine="0" w:firstLineChars="0"/>
              <w:jc w:val="center"/>
              <w:rPr>
                <w:rFonts w:eastAsia="宋体"/>
                <w:color w:val="000000"/>
                <w:kern w:val="0"/>
                <w:sz w:val="24"/>
              </w:rPr>
            </w:pPr>
            <w:r>
              <w:rPr>
                <w:rFonts w:eastAsia="宋体"/>
                <w:color w:val="000000"/>
                <w:kern w:val="0"/>
                <w:sz w:val="24"/>
              </w:rPr>
              <w:t>0.444</w:t>
            </w:r>
          </w:p>
        </w:tc>
        <w:tc>
          <w:tcPr>
            <w:tcW w:w="851" w:type="dxa"/>
            <w:tcBorders>
              <w:top w:val="nil"/>
              <w:left w:val="nil"/>
              <w:bottom w:val="single" w:color="auto" w:sz="4" w:space="0"/>
              <w:right w:val="single" w:color="auto" w:sz="4" w:space="0"/>
            </w:tcBorders>
            <w:shd w:val="clear" w:color="auto" w:fill="auto"/>
            <w:vAlign w:val="center"/>
          </w:tcPr>
          <w:p w14:paraId="2A44BE93">
            <w:pPr>
              <w:widowControl/>
              <w:ind w:firstLine="0" w:firstLineChars="0"/>
              <w:jc w:val="center"/>
              <w:rPr>
                <w:rFonts w:eastAsia="宋体"/>
                <w:color w:val="000000"/>
                <w:kern w:val="0"/>
                <w:sz w:val="24"/>
              </w:rPr>
            </w:pPr>
            <w:r>
              <w:rPr>
                <w:rFonts w:eastAsia="宋体"/>
                <w:color w:val="000000"/>
                <w:kern w:val="0"/>
                <w:sz w:val="24"/>
              </w:rPr>
              <w:t>0.447</w:t>
            </w:r>
          </w:p>
        </w:tc>
        <w:tc>
          <w:tcPr>
            <w:tcW w:w="890" w:type="dxa"/>
            <w:tcBorders>
              <w:top w:val="nil"/>
              <w:left w:val="nil"/>
              <w:bottom w:val="single" w:color="auto" w:sz="4" w:space="0"/>
              <w:right w:val="single" w:color="auto" w:sz="4" w:space="0"/>
            </w:tcBorders>
            <w:shd w:val="clear" w:color="auto" w:fill="auto"/>
            <w:vAlign w:val="center"/>
          </w:tcPr>
          <w:p w14:paraId="5081391F">
            <w:pPr>
              <w:widowControl/>
              <w:ind w:firstLine="0" w:firstLineChars="0"/>
              <w:jc w:val="center"/>
              <w:rPr>
                <w:rFonts w:eastAsia="宋体"/>
                <w:color w:val="000000"/>
                <w:kern w:val="0"/>
                <w:sz w:val="24"/>
              </w:rPr>
            </w:pPr>
            <w:r>
              <w:rPr>
                <w:rFonts w:eastAsia="宋体"/>
                <w:color w:val="000000"/>
                <w:kern w:val="0"/>
                <w:sz w:val="24"/>
              </w:rPr>
              <w:t>0.464</w:t>
            </w:r>
          </w:p>
        </w:tc>
        <w:tc>
          <w:tcPr>
            <w:tcW w:w="850" w:type="dxa"/>
            <w:tcBorders>
              <w:top w:val="nil"/>
              <w:left w:val="nil"/>
              <w:bottom w:val="single" w:color="auto" w:sz="4" w:space="0"/>
              <w:right w:val="single" w:color="auto" w:sz="4" w:space="0"/>
            </w:tcBorders>
            <w:shd w:val="clear" w:color="auto" w:fill="auto"/>
            <w:vAlign w:val="center"/>
          </w:tcPr>
          <w:p w14:paraId="3D3A9863">
            <w:pPr>
              <w:widowControl/>
              <w:ind w:firstLine="0" w:firstLineChars="0"/>
              <w:jc w:val="center"/>
              <w:rPr>
                <w:rFonts w:eastAsia="宋体"/>
                <w:color w:val="000000"/>
                <w:kern w:val="0"/>
                <w:sz w:val="24"/>
              </w:rPr>
            </w:pPr>
            <w:r>
              <w:rPr>
                <w:rFonts w:eastAsia="宋体"/>
                <w:color w:val="000000"/>
                <w:kern w:val="0"/>
                <w:sz w:val="24"/>
              </w:rPr>
              <w:t>3.9</w:t>
            </w:r>
          </w:p>
        </w:tc>
      </w:tr>
      <w:tr w14:paraId="01CC4052">
        <w:tblPrEx>
          <w:tblCellMar>
            <w:top w:w="0" w:type="dxa"/>
            <w:left w:w="108" w:type="dxa"/>
            <w:bottom w:w="0" w:type="dxa"/>
            <w:right w:w="108" w:type="dxa"/>
          </w:tblCellMar>
        </w:tblPrEx>
        <w:trPr>
          <w:trHeight w:val="567" w:hRule="atLeast"/>
          <w:jc w:val="center"/>
        </w:trPr>
        <w:tc>
          <w:tcPr>
            <w:tcW w:w="722" w:type="dxa"/>
            <w:tcBorders>
              <w:top w:val="nil"/>
              <w:left w:val="single" w:color="auto" w:sz="4" w:space="0"/>
              <w:bottom w:val="single" w:color="auto" w:sz="4" w:space="0"/>
              <w:right w:val="single" w:color="auto" w:sz="4" w:space="0"/>
            </w:tcBorders>
            <w:shd w:val="clear" w:color="auto" w:fill="auto"/>
            <w:vAlign w:val="center"/>
          </w:tcPr>
          <w:p w14:paraId="4310C443">
            <w:pPr>
              <w:widowControl/>
              <w:ind w:firstLine="0" w:firstLineChars="0"/>
              <w:jc w:val="center"/>
              <w:rPr>
                <w:rFonts w:eastAsia="宋体"/>
                <w:color w:val="000000"/>
                <w:kern w:val="0"/>
                <w:sz w:val="24"/>
              </w:rPr>
            </w:pPr>
            <w:r>
              <w:rPr>
                <w:rFonts w:eastAsia="宋体"/>
                <w:color w:val="000000"/>
                <w:kern w:val="0"/>
                <w:sz w:val="24"/>
              </w:rPr>
              <w:t>11</w:t>
            </w:r>
          </w:p>
        </w:tc>
        <w:tc>
          <w:tcPr>
            <w:tcW w:w="1379" w:type="dxa"/>
            <w:tcBorders>
              <w:top w:val="nil"/>
              <w:left w:val="nil"/>
              <w:bottom w:val="single" w:color="auto" w:sz="4" w:space="0"/>
              <w:right w:val="single" w:color="auto" w:sz="4" w:space="0"/>
            </w:tcBorders>
            <w:shd w:val="clear" w:color="auto" w:fill="auto"/>
            <w:vAlign w:val="center"/>
          </w:tcPr>
          <w:p w14:paraId="2E2373BF">
            <w:pPr>
              <w:widowControl/>
              <w:ind w:firstLine="0" w:firstLineChars="0"/>
              <w:jc w:val="center"/>
              <w:rPr>
                <w:rFonts w:ascii="宋体" w:hAnsi="宋体" w:eastAsia="宋体" w:cs="宋体"/>
                <w:color w:val="000000"/>
                <w:kern w:val="0"/>
                <w:sz w:val="24"/>
              </w:rPr>
            </w:pPr>
            <w:r>
              <w:rPr>
                <w:rFonts w:hint="eastAsia" w:ascii="宋体" w:hAnsi="宋体" w:eastAsia="宋体" w:cs="宋体"/>
                <w:color w:val="000000"/>
                <w:kern w:val="0"/>
                <w:sz w:val="24"/>
              </w:rPr>
              <w:t>姜黄制品（咖喱粉）</w:t>
            </w:r>
          </w:p>
        </w:tc>
        <w:tc>
          <w:tcPr>
            <w:tcW w:w="1507" w:type="dxa"/>
            <w:tcBorders>
              <w:top w:val="nil"/>
              <w:left w:val="nil"/>
              <w:bottom w:val="single" w:color="auto" w:sz="4" w:space="0"/>
              <w:right w:val="single" w:color="auto" w:sz="4" w:space="0"/>
            </w:tcBorders>
            <w:shd w:val="clear" w:color="auto" w:fill="auto"/>
            <w:vAlign w:val="center"/>
          </w:tcPr>
          <w:p w14:paraId="45E677F6">
            <w:pPr>
              <w:widowControl/>
              <w:ind w:firstLine="0" w:firstLineChars="0"/>
              <w:jc w:val="center"/>
              <w:rPr>
                <w:rFonts w:eastAsia="宋体"/>
                <w:kern w:val="0"/>
                <w:sz w:val="24"/>
              </w:rPr>
            </w:pPr>
            <w:r>
              <w:rPr>
                <w:rFonts w:eastAsia="宋体"/>
                <w:kern w:val="0"/>
                <w:sz w:val="24"/>
              </w:rPr>
              <w:t>20232239</w:t>
            </w:r>
          </w:p>
        </w:tc>
        <w:tc>
          <w:tcPr>
            <w:tcW w:w="839" w:type="dxa"/>
            <w:tcBorders>
              <w:top w:val="nil"/>
              <w:left w:val="nil"/>
              <w:bottom w:val="single" w:color="auto" w:sz="4" w:space="0"/>
              <w:right w:val="single" w:color="auto" w:sz="4" w:space="0"/>
            </w:tcBorders>
            <w:shd w:val="clear" w:color="auto" w:fill="auto"/>
            <w:vAlign w:val="center"/>
          </w:tcPr>
          <w:p w14:paraId="3AAE842A">
            <w:pPr>
              <w:widowControl/>
              <w:ind w:firstLine="0" w:firstLineChars="0"/>
              <w:jc w:val="center"/>
              <w:rPr>
                <w:rFonts w:eastAsia="宋体"/>
                <w:color w:val="000000"/>
                <w:kern w:val="0"/>
                <w:sz w:val="24"/>
              </w:rPr>
            </w:pPr>
            <w:r>
              <w:rPr>
                <w:rFonts w:eastAsia="宋体"/>
                <w:color w:val="000000"/>
                <w:kern w:val="0"/>
                <w:sz w:val="24"/>
              </w:rPr>
              <w:t>0.271</w:t>
            </w:r>
          </w:p>
        </w:tc>
        <w:tc>
          <w:tcPr>
            <w:tcW w:w="850" w:type="dxa"/>
            <w:tcBorders>
              <w:top w:val="nil"/>
              <w:left w:val="nil"/>
              <w:bottom w:val="single" w:color="auto" w:sz="4" w:space="0"/>
              <w:right w:val="single" w:color="auto" w:sz="4" w:space="0"/>
            </w:tcBorders>
            <w:shd w:val="clear" w:color="auto" w:fill="auto"/>
            <w:vAlign w:val="center"/>
          </w:tcPr>
          <w:p w14:paraId="4A21B3B7">
            <w:pPr>
              <w:widowControl/>
              <w:ind w:firstLine="0" w:firstLineChars="0"/>
              <w:jc w:val="center"/>
              <w:rPr>
                <w:rFonts w:eastAsia="宋体"/>
                <w:color w:val="000000"/>
                <w:kern w:val="0"/>
                <w:sz w:val="24"/>
              </w:rPr>
            </w:pPr>
            <w:r>
              <w:rPr>
                <w:rFonts w:eastAsia="宋体"/>
                <w:color w:val="000000"/>
                <w:kern w:val="0"/>
                <w:sz w:val="24"/>
              </w:rPr>
              <w:t>0.273</w:t>
            </w:r>
          </w:p>
        </w:tc>
        <w:tc>
          <w:tcPr>
            <w:tcW w:w="811" w:type="dxa"/>
            <w:tcBorders>
              <w:top w:val="nil"/>
              <w:left w:val="nil"/>
              <w:bottom w:val="single" w:color="auto" w:sz="4" w:space="0"/>
              <w:right w:val="single" w:color="auto" w:sz="4" w:space="0"/>
            </w:tcBorders>
            <w:shd w:val="clear" w:color="auto" w:fill="auto"/>
            <w:vAlign w:val="center"/>
          </w:tcPr>
          <w:p w14:paraId="4F825B4D">
            <w:pPr>
              <w:widowControl/>
              <w:ind w:firstLine="0" w:firstLineChars="0"/>
              <w:jc w:val="center"/>
              <w:rPr>
                <w:rFonts w:eastAsia="宋体"/>
                <w:color w:val="000000"/>
                <w:kern w:val="0"/>
                <w:sz w:val="24"/>
              </w:rPr>
            </w:pPr>
            <w:r>
              <w:rPr>
                <w:rFonts w:eastAsia="宋体"/>
                <w:color w:val="000000"/>
                <w:kern w:val="0"/>
                <w:sz w:val="24"/>
              </w:rPr>
              <w:t>0.274</w:t>
            </w:r>
          </w:p>
        </w:tc>
        <w:tc>
          <w:tcPr>
            <w:tcW w:w="851" w:type="dxa"/>
            <w:tcBorders>
              <w:top w:val="nil"/>
              <w:left w:val="nil"/>
              <w:bottom w:val="single" w:color="auto" w:sz="4" w:space="0"/>
              <w:right w:val="single" w:color="auto" w:sz="4" w:space="0"/>
            </w:tcBorders>
            <w:shd w:val="clear" w:color="auto" w:fill="auto"/>
            <w:vAlign w:val="center"/>
          </w:tcPr>
          <w:p w14:paraId="5C0EAC9B">
            <w:pPr>
              <w:widowControl/>
              <w:ind w:firstLine="0" w:firstLineChars="0"/>
              <w:jc w:val="center"/>
              <w:rPr>
                <w:rFonts w:eastAsia="宋体"/>
                <w:color w:val="000000"/>
                <w:kern w:val="0"/>
                <w:sz w:val="24"/>
              </w:rPr>
            </w:pPr>
            <w:r>
              <w:rPr>
                <w:rFonts w:eastAsia="宋体"/>
                <w:color w:val="000000"/>
                <w:kern w:val="0"/>
                <w:sz w:val="24"/>
              </w:rPr>
              <w:t>0.289</w:t>
            </w:r>
          </w:p>
        </w:tc>
        <w:tc>
          <w:tcPr>
            <w:tcW w:w="890" w:type="dxa"/>
            <w:tcBorders>
              <w:top w:val="nil"/>
              <w:left w:val="nil"/>
              <w:bottom w:val="single" w:color="auto" w:sz="4" w:space="0"/>
              <w:right w:val="single" w:color="auto" w:sz="4" w:space="0"/>
            </w:tcBorders>
            <w:shd w:val="clear" w:color="auto" w:fill="auto"/>
            <w:vAlign w:val="center"/>
          </w:tcPr>
          <w:p w14:paraId="1FF02FA9">
            <w:pPr>
              <w:widowControl/>
              <w:ind w:firstLine="0" w:firstLineChars="0"/>
              <w:jc w:val="center"/>
              <w:rPr>
                <w:rFonts w:eastAsia="宋体"/>
                <w:color w:val="000000"/>
                <w:kern w:val="0"/>
                <w:sz w:val="24"/>
              </w:rPr>
            </w:pPr>
            <w:r>
              <w:rPr>
                <w:rFonts w:eastAsia="宋体"/>
                <w:color w:val="000000"/>
                <w:kern w:val="0"/>
                <w:sz w:val="24"/>
              </w:rPr>
              <w:t>0.277</w:t>
            </w:r>
          </w:p>
        </w:tc>
        <w:tc>
          <w:tcPr>
            <w:tcW w:w="850" w:type="dxa"/>
            <w:tcBorders>
              <w:top w:val="nil"/>
              <w:left w:val="nil"/>
              <w:bottom w:val="single" w:color="auto" w:sz="4" w:space="0"/>
              <w:right w:val="single" w:color="auto" w:sz="4" w:space="0"/>
            </w:tcBorders>
            <w:shd w:val="clear" w:color="auto" w:fill="auto"/>
            <w:vAlign w:val="center"/>
          </w:tcPr>
          <w:p w14:paraId="410C4238">
            <w:pPr>
              <w:widowControl/>
              <w:ind w:firstLine="0" w:firstLineChars="0"/>
              <w:jc w:val="center"/>
              <w:rPr>
                <w:rFonts w:eastAsia="宋体"/>
                <w:color w:val="000000"/>
                <w:kern w:val="0"/>
                <w:sz w:val="24"/>
              </w:rPr>
            </w:pPr>
            <w:r>
              <w:rPr>
                <w:rFonts w:eastAsia="宋体"/>
                <w:color w:val="000000"/>
                <w:kern w:val="0"/>
                <w:sz w:val="24"/>
              </w:rPr>
              <w:t>3.0</w:t>
            </w:r>
          </w:p>
        </w:tc>
      </w:tr>
      <w:tr w14:paraId="47878707">
        <w:tblPrEx>
          <w:tblCellMar>
            <w:top w:w="0" w:type="dxa"/>
            <w:left w:w="108" w:type="dxa"/>
            <w:bottom w:w="0" w:type="dxa"/>
            <w:right w:w="108" w:type="dxa"/>
          </w:tblCellMar>
        </w:tblPrEx>
        <w:trPr>
          <w:trHeight w:val="567" w:hRule="atLeast"/>
          <w:jc w:val="center"/>
        </w:trPr>
        <w:tc>
          <w:tcPr>
            <w:tcW w:w="722" w:type="dxa"/>
            <w:tcBorders>
              <w:top w:val="nil"/>
              <w:left w:val="single" w:color="auto" w:sz="4" w:space="0"/>
              <w:bottom w:val="single" w:color="auto" w:sz="4" w:space="0"/>
              <w:right w:val="single" w:color="auto" w:sz="4" w:space="0"/>
            </w:tcBorders>
            <w:shd w:val="clear" w:color="auto" w:fill="auto"/>
            <w:vAlign w:val="center"/>
          </w:tcPr>
          <w:p w14:paraId="40AF7DEC">
            <w:pPr>
              <w:widowControl/>
              <w:ind w:firstLine="0" w:firstLineChars="0"/>
              <w:jc w:val="center"/>
              <w:rPr>
                <w:rFonts w:eastAsia="宋体"/>
                <w:color w:val="000000"/>
                <w:kern w:val="0"/>
                <w:sz w:val="24"/>
              </w:rPr>
            </w:pPr>
            <w:r>
              <w:rPr>
                <w:rFonts w:eastAsia="宋体"/>
                <w:color w:val="000000"/>
                <w:kern w:val="0"/>
                <w:sz w:val="24"/>
              </w:rPr>
              <w:t>12</w:t>
            </w:r>
          </w:p>
        </w:tc>
        <w:tc>
          <w:tcPr>
            <w:tcW w:w="1379" w:type="dxa"/>
            <w:tcBorders>
              <w:top w:val="nil"/>
              <w:left w:val="nil"/>
              <w:bottom w:val="single" w:color="auto" w:sz="4" w:space="0"/>
              <w:right w:val="single" w:color="auto" w:sz="4" w:space="0"/>
            </w:tcBorders>
            <w:shd w:val="clear" w:color="auto" w:fill="auto"/>
            <w:vAlign w:val="center"/>
          </w:tcPr>
          <w:p w14:paraId="338FEF98">
            <w:pPr>
              <w:widowControl/>
              <w:ind w:firstLine="0" w:firstLineChars="0"/>
              <w:jc w:val="center"/>
              <w:rPr>
                <w:rFonts w:ascii="宋体" w:hAnsi="宋体" w:eastAsia="宋体" w:cs="宋体"/>
                <w:color w:val="000000"/>
                <w:kern w:val="0"/>
                <w:sz w:val="24"/>
              </w:rPr>
            </w:pPr>
            <w:r>
              <w:rPr>
                <w:rFonts w:hint="eastAsia" w:ascii="宋体" w:hAnsi="宋体" w:eastAsia="宋体" w:cs="宋体"/>
                <w:color w:val="000000"/>
                <w:kern w:val="0"/>
                <w:sz w:val="24"/>
              </w:rPr>
              <w:t>姜黄制品（咖喱粉）</w:t>
            </w:r>
          </w:p>
        </w:tc>
        <w:tc>
          <w:tcPr>
            <w:tcW w:w="1507" w:type="dxa"/>
            <w:tcBorders>
              <w:top w:val="nil"/>
              <w:left w:val="nil"/>
              <w:bottom w:val="single" w:color="auto" w:sz="4" w:space="0"/>
              <w:right w:val="single" w:color="auto" w:sz="4" w:space="0"/>
            </w:tcBorders>
            <w:shd w:val="clear" w:color="auto" w:fill="auto"/>
            <w:vAlign w:val="center"/>
          </w:tcPr>
          <w:p w14:paraId="0B96C92D">
            <w:pPr>
              <w:widowControl/>
              <w:ind w:firstLine="0" w:firstLineChars="0"/>
              <w:jc w:val="center"/>
              <w:rPr>
                <w:rFonts w:eastAsia="宋体"/>
                <w:kern w:val="0"/>
                <w:sz w:val="24"/>
              </w:rPr>
            </w:pPr>
            <w:r>
              <w:rPr>
                <w:rFonts w:eastAsia="宋体"/>
                <w:kern w:val="0"/>
                <w:sz w:val="24"/>
              </w:rPr>
              <w:t>2509090005</w:t>
            </w:r>
          </w:p>
        </w:tc>
        <w:tc>
          <w:tcPr>
            <w:tcW w:w="839" w:type="dxa"/>
            <w:tcBorders>
              <w:top w:val="nil"/>
              <w:left w:val="nil"/>
              <w:bottom w:val="single" w:color="auto" w:sz="4" w:space="0"/>
              <w:right w:val="single" w:color="auto" w:sz="4" w:space="0"/>
            </w:tcBorders>
            <w:shd w:val="clear" w:color="auto" w:fill="auto"/>
            <w:vAlign w:val="center"/>
          </w:tcPr>
          <w:p w14:paraId="4EFA2BED">
            <w:pPr>
              <w:widowControl/>
              <w:ind w:firstLine="0" w:firstLineChars="0"/>
              <w:jc w:val="center"/>
              <w:rPr>
                <w:rFonts w:eastAsia="宋体"/>
                <w:color w:val="000000"/>
                <w:kern w:val="0"/>
                <w:sz w:val="24"/>
              </w:rPr>
            </w:pPr>
            <w:r>
              <w:rPr>
                <w:rFonts w:eastAsia="宋体"/>
                <w:color w:val="000000"/>
                <w:kern w:val="0"/>
                <w:sz w:val="24"/>
              </w:rPr>
              <w:t>0.309</w:t>
            </w:r>
          </w:p>
        </w:tc>
        <w:tc>
          <w:tcPr>
            <w:tcW w:w="850" w:type="dxa"/>
            <w:tcBorders>
              <w:top w:val="nil"/>
              <w:left w:val="nil"/>
              <w:bottom w:val="single" w:color="auto" w:sz="4" w:space="0"/>
              <w:right w:val="single" w:color="auto" w:sz="4" w:space="0"/>
            </w:tcBorders>
            <w:shd w:val="clear" w:color="auto" w:fill="auto"/>
            <w:vAlign w:val="center"/>
          </w:tcPr>
          <w:p w14:paraId="5AE7B56E">
            <w:pPr>
              <w:widowControl/>
              <w:ind w:firstLine="0" w:firstLineChars="0"/>
              <w:jc w:val="center"/>
              <w:rPr>
                <w:rFonts w:eastAsia="宋体"/>
                <w:color w:val="000000"/>
                <w:kern w:val="0"/>
                <w:sz w:val="24"/>
              </w:rPr>
            </w:pPr>
            <w:r>
              <w:rPr>
                <w:rFonts w:eastAsia="宋体"/>
                <w:color w:val="000000"/>
                <w:kern w:val="0"/>
                <w:sz w:val="24"/>
              </w:rPr>
              <w:t>0.314</w:t>
            </w:r>
          </w:p>
        </w:tc>
        <w:tc>
          <w:tcPr>
            <w:tcW w:w="811" w:type="dxa"/>
            <w:tcBorders>
              <w:top w:val="nil"/>
              <w:left w:val="nil"/>
              <w:bottom w:val="single" w:color="auto" w:sz="4" w:space="0"/>
              <w:right w:val="single" w:color="auto" w:sz="4" w:space="0"/>
            </w:tcBorders>
            <w:shd w:val="clear" w:color="auto" w:fill="auto"/>
            <w:vAlign w:val="center"/>
          </w:tcPr>
          <w:p w14:paraId="4B555BC4">
            <w:pPr>
              <w:widowControl/>
              <w:ind w:firstLine="0" w:firstLineChars="0"/>
              <w:jc w:val="center"/>
              <w:rPr>
                <w:rFonts w:eastAsia="宋体"/>
                <w:color w:val="000000"/>
                <w:kern w:val="0"/>
                <w:sz w:val="24"/>
              </w:rPr>
            </w:pPr>
            <w:r>
              <w:rPr>
                <w:rFonts w:eastAsia="宋体"/>
                <w:color w:val="000000"/>
                <w:kern w:val="0"/>
                <w:sz w:val="24"/>
              </w:rPr>
              <w:t>0.314</w:t>
            </w:r>
          </w:p>
        </w:tc>
        <w:tc>
          <w:tcPr>
            <w:tcW w:w="851" w:type="dxa"/>
            <w:tcBorders>
              <w:top w:val="nil"/>
              <w:left w:val="nil"/>
              <w:bottom w:val="single" w:color="auto" w:sz="4" w:space="0"/>
              <w:right w:val="single" w:color="auto" w:sz="4" w:space="0"/>
            </w:tcBorders>
            <w:shd w:val="clear" w:color="auto" w:fill="auto"/>
            <w:vAlign w:val="center"/>
          </w:tcPr>
          <w:p w14:paraId="3C5CAB74">
            <w:pPr>
              <w:widowControl/>
              <w:ind w:firstLine="0" w:firstLineChars="0"/>
              <w:jc w:val="center"/>
              <w:rPr>
                <w:rFonts w:eastAsia="宋体"/>
                <w:color w:val="000000"/>
                <w:kern w:val="0"/>
                <w:sz w:val="24"/>
              </w:rPr>
            </w:pPr>
            <w:r>
              <w:rPr>
                <w:rFonts w:eastAsia="宋体"/>
                <w:color w:val="000000"/>
                <w:kern w:val="0"/>
                <w:sz w:val="24"/>
              </w:rPr>
              <w:t>0.314</w:t>
            </w:r>
          </w:p>
        </w:tc>
        <w:tc>
          <w:tcPr>
            <w:tcW w:w="890" w:type="dxa"/>
            <w:tcBorders>
              <w:top w:val="nil"/>
              <w:left w:val="nil"/>
              <w:bottom w:val="single" w:color="auto" w:sz="4" w:space="0"/>
              <w:right w:val="single" w:color="auto" w:sz="4" w:space="0"/>
            </w:tcBorders>
            <w:shd w:val="clear" w:color="auto" w:fill="auto"/>
            <w:vAlign w:val="center"/>
          </w:tcPr>
          <w:p w14:paraId="1DA6C844">
            <w:pPr>
              <w:widowControl/>
              <w:ind w:firstLine="0" w:firstLineChars="0"/>
              <w:jc w:val="center"/>
              <w:rPr>
                <w:rFonts w:eastAsia="宋体"/>
                <w:color w:val="000000"/>
                <w:kern w:val="0"/>
                <w:sz w:val="24"/>
              </w:rPr>
            </w:pPr>
            <w:r>
              <w:rPr>
                <w:rFonts w:eastAsia="宋体"/>
                <w:color w:val="000000"/>
                <w:kern w:val="0"/>
                <w:sz w:val="24"/>
              </w:rPr>
              <w:t>0.313</w:t>
            </w:r>
          </w:p>
        </w:tc>
        <w:tc>
          <w:tcPr>
            <w:tcW w:w="850" w:type="dxa"/>
            <w:tcBorders>
              <w:top w:val="nil"/>
              <w:left w:val="nil"/>
              <w:bottom w:val="single" w:color="auto" w:sz="4" w:space="0"/>
              <w:right w:val="single" w:color="auto" w:sz="4" w:space="0"/>
            </w:tcBorders>
            <w:shd w:val="clear" w:color="auto" w:fill="auto"/>
            <w:vAlign w:val="center"/>
          </w:tcPr>
          <w:p w14:paraId="22FCC8F6">
            <w:pPr>
              <w:widowControl/>
              <w:ind w:firstLine="0" w:firstLineChars="0"/>
              <w:jc w:val="center"/>
              <w:rPr>
                <w:rFonts w:eastAsia="宋体"/>
                <w:color w:val="000000"/>
                <w:kern w:val="0"/>
                <w:sz w:val="24"/>
              </w:rPr>
            </w:pPr>
            <w:r>
              <w:rPr>
                <w:rFonts w:eastAsia="宋体"/>
                <w:color w:val="000000"/>
                <w:kern w:val="0"/>
                <w:sz w:val="24"/>
              </w:rPr>
              <w:t>0.8</w:t>
            </w:r>
          </w:p>
        </w:tc>
      </w:tr>
    </w:tbl>
    <w:p w14:paraId="225C6EDD">
      <w:pPr>
        <w:ind w:firstLine="0" w:firstLineChars="0"/>
        <w:jc w:val="center"/>
        <w:rPr>
          <w:rFonts w:eastAsia="黑体"/>
          <w:szCs w:val="32"/>
        </w:rPr>
      </w:pPr>
      <w:r>
        <w:rPr>
          <w:rFonts w:hint="eastAsia" w:eastAsia="黑体"/>
          <w:szCs w:val="32"/>
        </w:rPr>
        <w:t>表10：姜黄及其制品中CurⅢ含量的测定结果（单位</w:t>
      </w:r>
      <w:r>
        <w:rPr>
          <w:rFonts w:eastAsia="黑体"/>
          <w:szCs w:val="32"/>
        </w:rPr>
        <w:t>：</w:t>
      </w:r>
      <w:r>
        <w:rPr>
          <w:rFonts w:hint="eastAsia" w:eastAsia="黑体"/>
          <w:szCs w:val="32"/>
        </w:rPr>
        <w:t>%）</w:t>
      </w:r>
    </w:p>
    <w:tbl>
      <w:tblPr>
        <w:tblStyle w:val="9"/>
        <w:tblW w:w="8699" w:type="dxa"/>
        <w:jc w:val="center"/>
        <w:tblLayout w:type="fixed"/>
        <w:tblCellMar>
          <w:top w:w="0" w:type="dxa"/>
          <w:left w:w="108" w:type="dxa"/>
          <w:bottom w:w="0" w:type="dxa"/>
          <w:right w:w="108" w:type="dxa"/>
        </w:tblCellMar>
      </w:tblPr>
      <w:tblGrid>
        <w:gridCol w:w="722"/>
        <w:gridCol w:w="1379"/>
        <w:gridCol w:w="1507"/>
        <w:gridCol w:w="839"/>
        <w:gridCol w:w="850"/>
        <w:gridCol w:w="811"/>
        <w:gridCol w:w="851"/>
        <w:gridCol w:w="890"/>
        <w:gridCol w:w="850"/>
      </w:tblGrid>
      <w:tr w14:paraId="27508477">
        <w:tblPrEx>
          <w:tblCellMar>
            <w:top w:w="0" w:type="dxa"/>
            <w:left w:w="108" w:type="dxa"/>
            <w:bottom w:w="0" w:type="dxa"/>
            <w:right w:w="108" w:type="dxa"/>
          </w:tblCellMar>
        </w:tblPrEx>
        <w:trPr>
          <w:trHeight w:val="567" w:hRule="atLeast"/>
          <w:jc w:val="center"/>
        </w:trPr>
        <w:tc>
          <w:tcPr>
            <w:tcW w:w="722" w:type="dxa"/>
            <w:tcBorders>
              <w:top w:val="single" w:color="auto" w:sz="4" w:space="0"/>
              <w:left w:val="single" w:color="auto" w:sz="4" w:space="0"/>
              <w:bottom w:val="single" w:color="auto" w:sz="4" w:space="0"/>
              <w:right w:val="single" w:color="auto" w:sz="4" w:space="0"/>
            </w:tcBorders>
            <w:shd w:val="clear" w:color="auto" w:fill="auto"/>
            <w:vAlign w:val="center"/>
          </w:tcPr>
          <w:p w14:paraId="6E425910">
            <w:pPr>
              <w:widowControl/>
              <w:ind w:firstLine="0" w:firstLineChars="0"/>
              <w:rPr>
                <w:rFonts w:ascii="宋体" w:hAnsi="宋体" w:eastAsia="宋体" w:cs="宋体"/>
                <w:b/>
                <w:color w:val="000000"/>
                <w:kern w:val="0"/>
                <w:sz w:val="24"/>
              </w:rPr>
            </w:pPr>
            <w:r>
              <w:rPr>
                <w:rFonts w:hint="eastAsia" w:ascii="宋体" w:hAnsi="宋体" w:eastAsia="宋体" w:cs="宋体"/>
                <w:b/>
                <w:color w:val="000000"/>
                <w:kern w:val="0"/>
                <w:sz w:val="24"/>
              </w:rPr>
              <w:t>序号</w:t>
            </w:r>
          </w:p>
        </w:tc>
        <w:tc>
          <w:tcPr>
            <w:tcW w:w="1379" w:type="dxa"/>
            <w:tcBorders>
              <w:top w:val="single" w:color="auto" w:sz="4" w:space="0"/>
              <w:left w:val="nil"/>
              <w:bottom w:val="single" w:color="auto" w:sz="4" w:space="0"/>
              <w:right w:val="single" w:color="auto" w:sz="4" w:space="0"/>
            </w:tcBorders>
            <w:shd w:val="clear" w:color="auto" w:fill="auto"/>
            <w:vAlign w:val="center"/>
          </w:tcPr>
          <w:p w14:paraId="663B9999">
            <w:pPr>
              <w:widowControl/>
              <w:ind w:firstLine="0" w:firstLineChars="0"/>
              <w:jc w:val="center"/>
              <w:rPr>
                <w:rFonts w:ascii="宋体" w:hAnsi="宋体" w:eastAsia="宋体" w:cs="宋体"/>
                <w:b/>
                <w:color w:val="000000"/>
                <w:kern w:val="0"/>
                <w:sz w:val="24"/>
              </w:rPr>
            </w:pPr>
            <w:r>
              <w:rPr>
                <w:rFonts w:hint="eastAsia" w:ascii="宋体" w:hAnsi="宋体" w:eastAsia="宋体" w:cs="宋体"/>
                <w:b/>
                <w:color w:val="000000"/>
                <w:kern w:val="0"/>
                <w:sz w:val="24"/>
              </w:rPr>
              <w:t>名称</w:t>
            </w:r>
          </w:p>
        </w:tc>
        <w:tc>
          <w:tcPr>
            <w:tcW w:w="1507" w:type="dxa"/>
            <w:tcBorders>
              <w:top w:val="single" w:color="auto" w:sz="4" w:space="0"/>
              <w:left w:val="nil"/>
              <w:bottom w:val="single" w:color="auto" w:sz="4" w:space="0"/>
              <w:right w:val="single" w:color="auto" w:sz="4" w:space="0"/>
            </w:tcBorders>
            <w:shd w:val="clear" w:color="auto" w:fill="auto"/>
            <w:vAlign w:val="center"/>
          </w:tcPr>
          <w:p w14:paraId="21A1F477">
            <w:pPr>
              <w:widowControl/>
              <w:ind w:firstLine="0" w:firstLineChars="0"/>
              <w:jc w:val="center"/>
              <w:rPr>
                <w:rFonts w:ascii="宋体" w:hAnsi="宋体" w:eastAsia="宋体" w:cs="宋体"/>
                <w:b/>
                <w:color w:val="000000"/>
                <w:kern w:val="0"/>
                <w:sz w:val="24"/>
              </w:rPr>
            </w:pPr>
            <w:r>
              <w:rPr>
                <w:rFonts w:hint="eastAsia" w:ascii="宋体" w:hAnsi="宋体" w:eastAsia="宋体" w:cs="宋体"/>
                <w:b/>
                <w:color w:val="000000"/>
                <w:kern w:val="0"/>
                <w:sz w:val="24"/>
              </w:rPr>
              <w:t>批号</w:t>
            </w:r>
          </w:p>
        </w:tc>
        <w:tc>
          <w:tcPr>
            <w:tcW w:w="839" w:type="dxa"/>
            <w:tcBorders>
              <w:top w:val="single" w:color="auto" w:sz="4" w:space="0"/>
              <w:left w:val="nil"/>
              <w:bottom w:val="single" w:color="auto" w:sz="4" w:space="0"/>
              <w:right w:val="single" w:color="auto" w:sz="4" w:space="0"/>
            </w:tcBorders>
            <w:shd w:val="clear" w:color="auto" w:fill="auto"/>
            <w:vAlign w:val="center"/>
          </w:tcPr>
          <w:p w14:paraId="6DD45BB0">
            <w:pPr>
              <w:widowControl/>
              <w:ind w:firstLine="0" w:firstLineChars="0"/>
              <w:jc w:val="center"/>
              <w:rPr>
                <w:rFonts w:ascii="宋体" w:hAnsi="宋体" w:eastAsia="宋体" w:cs="宋体"/>
                <w:b/>
                <w:kern w:val="0"/>
                <w:sz w:val="24"/>
              </w:rPr>
            </w:pPr>
            <w:r>
              <w:rPr>
                <w:rFonts w:hint="eastAsia" w:ascii="宋体" w:hAnsi="宋体" w:eastAsia="宋体" w:cs="宋体"/>
                <w:b/>
                <w:kern w:val="0"/>
                <w:sz w:val="24"/>
              </w:rPr>
              <w:t>玉林中心</w:t>
            </w:r>
          </w:p>
        </w:tc>
        <w:tc>
          <w:tcPr>
            <w:tcW w:w="850" w:type="dxa"/>
            <w:tcBorders>
              <w:top w:val="single" w:color="auto" w:sz="4" w:space="0"/>
              <w:left w:val="nil"/>
              <w:bottom w:val="single" w:color="auto" w:sz="4" w:space="0"/>
              <w:right w:val="single" w:color="auto" w:sz="4" w:space="0"/>
            </w:tcBorders>
            <w:shd w:val="clear" w:color="auto" w:fill="auto"/>
            <w:vAlign w:val="center"/>
          </w:tcPr>
          <w:p w14:paraId="0C05D971">
            <w:pPr>
              <w:widowControl/>
              <w:ind w:firstLine="0" w:firstLineChars="0"/>
              <w:jc w:val="center"/>
              <w:rPr>
                <w:rFonts w:ascii="宋体" w:hAnsi="宋体" w:eastAsia="宋体" w:cs="宋体"/>
                <w:b/>
                <w:kern w:val="0"/>
                <w:sz w:val="24"/>
              </w:rPr>
            </w:pPr>
            <w:r>
              <w:rPr>
                <w:rFonts w:hint="eastAsia" w:ascii="宋体" w:hAnsi="宋体" w:eastAsia="宋体" w:cs="宋体"/>
                <w:b/>
                <w:kern w:val="0"/>
                <w:sz w:val="24"/>
              </w:rPr>
              <w:t>梧州所</w:t>
            </w:r>
          </w:p>
        </w:tc>
        <w:tc>
          <w:tcPr>
            <w:tcW w:w="811" w:type="dxa"/>
            <w:tcBorders>
              <w:top w:val="single" w:color="auto" w:sz="4" w:space="0"/>
              <w:left w:val="nil"/>
              <w:bottom w:val="single" w:color="auto" w:sz="4" w:space="0"/>
              <w:right w:val="single" w:color="auto" w:sz="4" w:space="0"/>
            </w:tcBorders>
            <w:shd w:val="clear" w:color="auto" w:fill="auto"/>
            <w:vAlign w:val="center"/>
          </w:tcPr>
          <w:p w14:paraId="48F23895">
            <w:pPr>
              <w:widowControl/>
              <w:ind w:firstLine="0" w:firstLineChars="0"/>
              <w:jc w:val="center"/>
              <w:rPr>
                <w:rFonts w:ascii="宋体" w:hAnsi="宋体" w:eastAsia="宋体" w:cs="宋体"/>
                <w:b/>
                <w:kern w:val="0"/>
                <w:sz w:val="24"/>
              </w:rPr>
            </w:pPr>
            <w:r>
              <w:rPr>
                <w:rFonts w:hint="eastAsia" w:ascii="宋体" w:hAnsi="宋体" w:eastAsia="宋体" w:cs="宋体"/>
                <w:b/>
                <w:kern w:val="0"/>
                <w:sz w:val="24"/>
              </w:rPr>
              <w:t>质检院</w:t>
            </w:r>
          </w:p>
        </w:tc>
        <w:tc>
          <w:tcPr>
            <w:tcW w:w="851" w:type="dxa"/>
            <w:tcBorders>
              <w:top w:val="single" w:color="auto" w:sz="4" w:space="0"/>
              <w:left w:val="nil"/>
              <w:bottom w:val="single" w:color="auto" w:sz="4" w:space="0"/>
              <w:right w:val="single" w:color="auto" w:sz="4" w:space="0"/>
            </w:tcBorders>
            <w:shd w:val="clear" w:color="auto" w:fill="auto"/>
            <w:vAlign w:val="center"/>
          </w:tcPr>
          <w:p w14:paraId="7BC03E7B">
            <w:pPr>
              <w:widowControl/>
              <w:ind w:firstLine="0" w:firstLineChars="0"/>
              <w:jc w:val="center"/>
              <w:rPr>
                <w:rFonts w:ascii="宋体" w:hAnsi="宋体" w:eastAsia="宋体" w:cs="宋体"/>
                <w:b/>
                <w:bCs/>
                <w:kern w:val="0"/>
                <w:sz w:val="24"/>
              </w:rPr>
            </w:pPr>
            <w:r>
              <w:rPr>
                <w:rFonts w:hint="eastAsia" w:ascii="宋体" w:hAnsi="宋体" w:eastAsia="宋体" w:cs="宋体"/>
                <w:b/>
                <w:bCs/>
                <w:kern w:val="0"/>
                <w:sz w:val="24"/>
              </w:rPr>
              <w:t>广电计量</w:t>
            </w:r>
          </w:p>
        </w:tc>
        <w:tc>
          <w:tcPr>
            <w:tcW w:w="890" w:type="dxa"/>
            <w:tcBorders>
              <w:top w:val="single" w:color="auto" w:sz="4" w:space="0"/>
              <w:left w:val="nil"/>
              <w:bottom w:val="single" w:color="auto" w:sz="4" w:space="0"/>
              <w:right w:val="single" w:color="auto" w:sz="4" w:space="0"/>
            </w:tcBorders>
            <w:shd w:val="clear" w:color="auto" w:fill="auto"/>
            <w:vAlign w:val="center"/>
          </w:tcPr>
          <w:p w14:paraId="735F0FFA">
            <w:pPr>
              <w:widowControl/>
              <w:ind w:firstLine="0" w:firstLineChars="0"/>
              <w:jc w:val="center"/>
              <w:rPr>
                <w:rFonts w:ascii="宋体" w:hAnsi="宋体" w:eastAsia="宋体" w:cs="宋体"/>
                <w:b/>
                <w:bCs/>
                <w:kern w:val="0"/>
                <w:sz w:val="24"/>
              </w:rPr>
            </w:pPr>
            <w:r>
              <w:rPr>
                <w:rFonts w:hint="eastAsia" w:ascii="宋体" w:hAnsi="宋体" w:eastAsia="宋体" w:cs="宋体"/>
                <w:b/>
                <w:bCs/>
                <w:kern w:val="0"/>
                <w:sz w:val="24"/>
              </w:rPr>
              <w:t>平均值</w:t>
            </w:r>
          </w:p>
        </w:tc>
        <w:tc>
          <w:tcPr>
            <w:tcW w:w="850" w:type="dxa"/>
            <w:tcBorders>
              <w:top w:val="single" w:color="auto" w:sz="4" w:space="0"/>
              <w:left w:val="nil"/>
              <w:bottom w:val="single" w:color="auto" w:sz="4" w:space="0"/>
              <w:right w:val="single" w:color="auto" w:sz="4" w:space="0"/>
            </w:tcBorders>
            <w:shd w:val="clear" w:color="auto" w:fill="auto"/>
            <w:vAlign w:val="center"/>
          </w:tcPr>
          <w:p w14:paraId="0E53DFB0">
            <w:pPr>
              <w:widowControl/>
              <w:ind w:firstLine="0" w:firstLineChars="0"/>
              <w:jc w:val="center"/>
              <w:rPr>
                <w:rFonts w:eastAsia="宋体"/>
                <w:b/>
                <w:bCs/>
                <w:kern w:val="0"/>
                <w:sz w:val="24"/>
              </w:rPr>
            </w:pPr>
            <w:r>
              <w:rPr>
                <w:rFonts w:eastAsia="宋体"/>
                <w:b/>
                <w:bCs/>
                <w:kern w:val="0"/>
                <w:sz w:val="24"/>
              </w:rPr>
              <w:t>RSD</w:t>
            </w:r>
          </w:p>
        </w:tc>
      </w:tr>
      <w:tr w14:paraId="5F91610D">
        <w:tblPrEx>
          <w:tblCellMar>
            <w:top w:w="0" w:type="dxa"/>
            <w:left w:w="108" w:type="dxa"/>
            <w:bottom w:w="0" w:type="dxa"/>
            <w:right w:w="108" w:type="dxa"/>
          </w:tblCellMar>
        </w:tblPrEx>
        <w:trPr>
          <w:trHeight w:val="567" w:hRule="atLeast"/>
          <w:jc w:val="center"/>
        </w:trPr>
        <w:tc>
          <w:tcPr>
            <w:tcW w:w="722" w:type="dxa"/>
            <w:tcBorders>
              <w:top w:val="nil"/>
              <w:left w:val="single" w:color="auto" w:sz="4" w:space="0"/>
              <w:bottom w:val="single" w:color="auto" w:sz="4" w:space="0"/>
              <w:right w:val="single" w:color="auto" w:sz="4" w:space="0"/>
            </w:tcBorders>
            <w:shd w:val="clear" w:color="auto" w:fill="auto"/>
            <w:vAlign w:val="center"/>
          </w:tcPr>
          <w:p w14:paraId="28DA608A">
            <w:pPr>
              <w:widowControl/>
              <w:ind w:firstLine="0" w:firstLineChars="0"/>
              <w:jc w:val="center"/>
              <w:rPr>
                <w:rFonts w:eastAsia="宋体"/>
                <w:color w:val="000000"/>
                <w:kern w:val="0"/>
                <w:sz w:val="24"/>
              </w:rPr>
            </w:pPr>
            <w:r>
              <w:rPr>
                <w:rFonts w:eastAsia="宋体"/>
                <w:color w:val="000000"/>
                <w:kern w:val="0"/>
                <w:sz w:val="24"/>
              </w:rPr>
              <w:t>1</w:t>
            </w:r>
          </w:p>
        </w:tc>
        <w:tc>
          <w:tcPr>
            <w:tcW w:w="1379" w:type="dxa"/>
            <w:tcBorders>
              <w:top w:val="nil"/>
              <w:left w:val="nil"/>
              <w:bottom w:val="single" w:color="auto" w:sz="4" w:space="0"/>
              <w:right w:val="single" w:color="auto" w:sz="4" w:space="0"/>
            </w:tcBorders>
            <w:shd w:val="clear" w:color="auto" w:fill="auto"/>
            <w:vAlign w:val="center"/>
          </w:tcPr>
          <w:p w14:paraId="6AB2EDF6">
            <w:pPr>
              <w:widowControl/>
              <w:ind w:firstLine="0" w:firstLineChars="0"/>
              <w:jc w:val="center"/>
              <w:rPr>
                <w:rFonts w:ascii="宋体" w:hAnsi="宋体" w:eastAsia="宋体" w:cs="宋体"/>
                <w:color w:val="000000"/>
                <w:kern w:val="0"/>
                <w:sz w:val="24"/>
              </w:rPr>
            </w:pPr>
            <w:r>
              <w:rPr>
                <w:rFonts w:hint="eastAsia" w:ascii="宋体" w:hAnsi="宋体" w:eastAsia="宋体" w:cs="宋体"/>
                <w:color w:val="000000"/>
                <w:kern w:val="0"/>
                <w:sz w:val="24"/>
              </w:rPr>
              <w:t>姜黄</w:t>
            </w:r>
          </w:p>
        </w:tc>
        <w:tc>
          <w:tcPr>
            <w:tcW w:w="1507" w:type="dxa"/>
            <w:tcBorders>
              <w:top w:val="nil"/>
              <w:left w:val="nil"/>
              <w:bottom w:val="single" w:color="auto" w:sz="4" w:space="0"/>
              <w:right w:val="single" w:color="auto" w:sz="4" w:space="0"/>
            </w:tcBorders>
            <w:shd w:val="clear" w:color="auto" w:fill="auto"/>
            <w:vAlign w:val="center"/>
          </w:tcPr>
          <w:p w14:paraId="3CB0016E">
            <w:pPr>
              <w:widowControl/>
              <w:ind w:firstLine="0" w:firstLineChars="0"/>
              <w:jc w:val="center"/>
              <w:rPr>
                <w:rFonts w:eastAsia="宋体"/>
                <w:color w:val="000000"/>
                <w:kern w:val="0"/>
                <w:sz w:val="24"/>
              </w:rPr>
            </w:pPr>
            <w:r>
              <w:rPr>
                <w:rFonts w:eastAsia="宋体"/>
                <w:color w:val="000000"/>
                <w:kern w:val="0"/>
                <w:sz w:val="24"/>
              </w:rPr>
              <w:t>2024072602</w:t>
            </w:r>
          </w:p>
        </w:tc>
        <w:tc>
          <w:tcPr>
            <w:tcW w:w="839" w:type="dxa"/>
            <w:tcBorders>
              <w:top w:val="nil"/>
              <w:left w:val="nil"/>
              <w:bottom w:val="single" w:color="auto" w:sz="4" w:space="0"/>
              <w:right w:val="single" w:color="auto" w:sz="4" w:space="0"/>
            </w:tcBorders>
            <w:shd w:val="clear" w:color="auto" w:fill="auto"/>
            <w:vAlign w:val="center"/>
          </w:tcPr>
          <w:p w14:paraId="6E9C504F">
            <w:pPr>
              <w:widowControl/>
              <w:ind w:firstLine="0" w:firstLineChars="0"/>
              <w:jc w:val="center"/>
              <w:rPr>
                <w:rFonts w:eastAsia="宋体"/>
                <w:color w:val="000000"/>
                <w:kern w:val="0"/>
                <w:sz w:val="24"/>
              </w:rPr>
            </w:pPr>
            <w:r>
              <w:rPr>
                <w:rFonts w:eastAsia="宋体"/>
                <w:color w:val="000000"/>
                <w:kern w:val="0"/>
                <w:sz w:val="24"/>
              </w:rPr>
              <w:t>1.13</w:t>
            </w:r>
          </w:p>
        </w:tc>
        <w:tc>
          <w:tcPr>
            <w:tcW w:w="850" w:type="dxa"/>
            <w:tcBorders>
              <w:top w:val="nil"/>
              <w:left w:val="nil"/>
              <w:bottom w:val="single" w:color="auto" w:sz="4" w:space="0"/>
              <w:right w:val="single" w:color="auto" w:sz="4" w:space="0"/>
            </w:tcBorders>
            <w:shd w:val="clear" w:color="auto" w:fill="auto"/>
            <w:vAlign w:val="center"/>
          </w:tcPr>
          <w:p w14:paraId="138AB7F6">
            <w:pPr>
              <w:widowControl/>
              <w:ind w:firstLine="0" w:firstLineChars="0"/>
              <w:jc w:val="center"/>
              <w:rPr>
                <w:rFonts w:eastAsia="宋体"/>
                <w:color w:val="000000"/>
                <w:kern w:val="0"/>
                <w:sz w:val="24"/>
              </w:rPr>
            </w:pPr>
            <w:r>
              <w:rPr>
                <w:rFonts w:eastAsia="宋体"/>
                <w:color w:val="000000"/>
                <w:kern w:val="0"/>
                <w:sz w:val="24"/>
              </w:rPr>
              <w:t>1.16</w:t>
            </w:r>
          </w:p>
        </w:tc>
        <w:tc>
          <w:tcPr>
            <w:tcW w:w="811" w:type="dxa"/>
            <w:tcBorders>
              <w:top w:val="nil"/>
              <w:left w:val="nil"/>
              <w:bottom w:val="single" w:color="auto" w:sz="4" w:space="0"/>
              <w:right w:val="single" w:color="auto" w:sz="4" w:space="0"/>
            </w:tcBorders>
            <w:shd w:val="clear" w:color="auto" w:fill="auto"/>
            <w:vAlign w:val="center"/>
          </w:tcPr>
          <w:p w14:paraId="38F9D2F7">
            <w:pPr>
              <w:widowControl/>
              <w:ind w:firstLine="0" w:firstLineChars="0"/>
              <w:jc w:val="center"/>
              <w:rPr>
                <w:rFonts w:eastAsia="宋体"/>
                <w:color w:val="000000"/>
                <w:kern w:val="0"/>
                <w:sz w:val="24"/>
              </w:rPr>
            </w:pPr>
            <w:r>
              <w:rPr>
                <w:rFonts w:eastAsia="宋体"/>
                <w:color w:val="000000"/>
                <w:kern w:val="0"/>
                <w:sz w:val="24"/>
              </w:rPr>
              <w:t>1.14</w:t>
            </w:r>
          </w:p>
        </w:tc>
        <w:tc>
          <w:tcPr>
            <w:tcW w:w="851" w:type="dxa"/>
            <w:tcBorders>
              <w:top w:val="nil"/>
              <w:left w:val="nil"/>
              <w:bottom w:val="single" w:color="auto" w:sz="4" w:space="0"/>
              <w:right w:val="single" w:color="auto" w:sz="4" w:space="0"/>
            </w:tcBorders>
            <w:shd w:val="clear" w:color="auto" w:fill="auto"/>
            <w:vAlign w:val="center"/>
          </w:tcPr>
          <w:p w14:paraId="18F841F2">
            <w:pPr>
              <w:widowControl/>
              <w:ind w:firstLine="0" w:firstLineChars="0"/>
              <w:jc w:val="center"/>
              <w:rPr>
                <w:rFonts w:eastAsia="宋体"/>
                <w:color w:val="000000"/>
                <w:kern w:val="0"/>
                <w:sz w:val="24"/>
              </w:rPr>
            </w:pPr>
            <w:r>
              <w:rPr>
                <w:rFonts w:eastAsia="宋体"/>
                <w:color w:val="000000"/>
                <w:kern w:val="0"/>
                <w:sz w:val="24"/>
              </w:rPr>
              <w:t>1.14</w:t>
            </w:r>
          </w:p>
        </w:tc>
        <w:tc>
          <w:tcPr>
            <w:tcW w:w="890" w:type="dxa"/>
            <w:tcBorders>
              <w:top w:val="nil"/>
              <w:left w:val="nil"/>
              <w:bottom w:val="single" w:color="auto" w:sz="4" w:space="0"/>
              <w:right w:val="single" w:color="auto" w:sz="4" w:space="0"/>
            </w:tcBorders>
            <w:shd w:val="clear" w:color="auto" w:fill="auto"/>
            <w:vAlign w:val="center"/>
          </w:tcPr>
          <w:p w14:paraId="4225EAA1">
            <w:pPr>
              <w:widowControl/>
              <w:ind w:firstLine="0" w:firstLineChars="0"/>
              <w:jc w:val="center"/>
              <w:rPr>
                <w:rFonts w:eastAsia="宋体"/>
                <w:color w:val="000000"/>
                <w:kern w:val="0"/>
                <w:sz w:val="24"/>
              </w:rPr>
            </w:pPr>
            <w:r>
              <w:rPr>
                <w:rFonts w:eastAsia="宋体"/>
                <w:color w:val="000000"/>
                <w:kern w:val="0"/>
                <w:sz w:val="24"/>
              </w:rPr>
              <w:t>1.14</w:t>
            </w:r>
          </w:p>
        </w:tc>
        <w:tc>
          <w:tcPr>
            <w:tcW w:w="850" w:type="dxa"/>
            <w:tcBorders>
              <w:top w:val="nil"/>
              <w:left w:val="nil"/>
              <w:bottom w:val="single" w:color="auto" w:sz="4" w:space="0"/>
              <w:right w:val="single" w:color="auto" w:sz="4" w:space="0"/>
            </w:tcBorders>
            <w:shd w:val="clear" w:color="auto" w:fill="auto"/>
            <w:vAlign w:val="center"/>
          </w:tcPr>
          <w:p w14:paraId="53CAD16D">
            <w:pPr>
              <w:widowControl/>
              <w:ind w:firstLine="0" w:firstLineChars="0"/>
              <w:jc w:val="center"/>
              <w:rPr>
                <w:rFonts w:eastAsia="宋体"/>
                <w:color w:val="000000"/>
                <w:kern w:val="0"/>
                <w:sz w:val="24"/>
              </w:rPr>
            </w:pPr>
            <w:r>
              <w:rPr>
                <w:rFonts w:eastAsia="宋体"/>
                <w:color w:val="000000"/>
                <w:kern w:val="0"/>
                <w:sz w:val="24"/>
              </w:rPr>
              <w:t>1.1</w:t>
            </w:r>
          </w:p>
        </w:tc>
      </w:tr>
      <w:tr w14:paraId="09EBE1D4">
        <w:tblPrEx>
          <w:tblCellMar>
            <w:top w:w="0" w:type="dxa"/>
            <w:left w:w="108" w:type="dxa"/>
            <w:bottom w:w="0" w:type="dxa"/>
            <w:right w:w="108" w:type="dxa"/>
          </w:tblCellMar>
        </w:tblPrEx>
        <w:trPr>
          <w:trHeight w:val="567" w:hRule="atLeast"/>
          <w:jc w:val="center"/>
        </w:trPr>
        <w:tc>
          <w:tcPr>
            <w:tcW w:w="722" w:type="dxa"/>
            <w:tcBorders>
              <w:top w:val="nil"/>
              <w:left w:val="single" w:color="auto" w:sz="4" w:space="0"/>
              <w:bottom w:val="single" w:color="auto" w:sz="4" w:space="0"/>
              <w:right w:val="single" w:color="auto" w:sz="4" w:space="0"/>
            </w:tcBorders>
            <w:shd w:val="clear" w:color="auto" w:fill="auto"/>
            <w:vAlign w:val="center"/>
          </w:tcPr>
          <w:p w14:paraId="58167E12">
            <w:pPr>
              <w:widowControl/>
              <w:ind w:firstLine="0" w:firstLineChars="0"/>
              <w:jc w:val="center"/>
              <w:rPr>
                <w:rFonts w:eastAsia="宋体"/>
                <w:color w:val="000000"/>
                <w:kern w:val="0"/>
                <w:sz w:val="24"/>
              </w:rPr>
            </w:pPr>
            <w:r>
              <w:rPr>
                <w:rFonts w:eastAsia="宋体"/>
                <w:color w:val="000000"/>
                <w:kern w:val="0"/>
                <w:sz w:val="24"/>
              </w:rPr>
              <w:t>2</w:t>
            </w:r>
          </w:p>
        </w:tc>
        <w:tc>
          <w:tcPr>
            <w:tcW w:w="1379" w:type="dxa"/>
            <w:tcBorders>
              <w:top w:val="nil"/>
              <w:left w:val="nil"/>
              <w:bottom w:val="single" w:color="auto" w:sz="4" w:space="0"/>
              <w:right w:val="single" w:color="auto" w:sz="4" w:space="0"/>
            </w:tcBorders>
            <w:shd w:val="clear" w:color="auto" w:fill="auto"/>
            <w:vAlign w:val="center"/>
          </w:tcPr>
          <w:p w14:paraId="4C72D848">
            <w:pPr>
              <w:widowControl/>
              <w:ind w:firstLine="0" w:firstLineChars="0"/>
              <w:jc w:val="center"/>
              <w:rPr>
                <w:rFonts w:ascii="宋体" w:hAnsi="宋体" w:eastAsia="宋体" w:cs="宋体"/>
                <w:color w:val="000000"/>
                <w:kern w:val="0"/>
                <w:sz w:val="24"/>
              </w:rPr>
            </w:pPr>
            <w:r>
              <w:rPr>
                <w:rFonts w:hint="eastAsia" w:ascii="宋体" w:hAnsi="宋体" w:eastAsia="宋体" w:cs="宋体"/>
                <w:color w:val="000000"/>
                <w:kern w:val="0"/>
                <w:sz w:val="24"/>
              </w:rPr>
              <w:t>姜黄</w:t>
            </w:r>
          </w:p>
        </w:tc>
        <w:tc>
          <w:tcPr>
            <w:tcW w:w="1507" w:type="dxa"/>
            <w:tcBorders>
              <w:top w:val="nil"/>
              <w:left w:val="nil"/>
              <w:bottom w:val="single" w:color="auto" w:sz="4" w:space="0"/>
              <w:right w:val="single" w:color="auto" w:sz="4" w:space="0"/>
            </w:tcBorders>
            <w:shd w:val="clear" w:color="auto" w:fill="auto"/>
            <w:vAlign w:val="center"/>
          </w:tcPr>
          <w:p w14:paraId="5FC92A5E">
            <w:pPr>
              <w:widowControl/>
              <w:ind w:firstLine="0" w:firstLineChars="0"/>
              <w:jc w:val="center"/>
              <w:rPr>
                <w:rFonts w:eastAsia="宋体"/>
                <w:kern w:val="0"/>
                <w:sz w:val="24"/>
              </w:rPr>
            </w:pPr>
            <w:r>
              <w:rPr>
                <w:rFonts w:eastAsia="宋体"/>
                <w:kern w:val="0"/>
                <w:sz w:val="24"/>
              </w:rPr>
              <w:t>2024070801</w:t>
            </w:r>
          </w:p>
        </w:tc>
        <w:tc>
          <w:tcPr>
            <w:tcW w:w="839" w:type="dxa"/>
            <w:tcBorders>
              <w:top w:val="nil"/>
              <w:left w:val="nil"/>
              <w:bottom w:val="single" w:color="auto" w:sz="4" w:space="0"/>
              <w:right w:val="single" w:color="auto" w:sz="4" w:space="0"/>
            </w:tcBorders>
            <w:shd w:val="clear" w:color="auto" w:fill="auto"/>
            <w:vAlign w:val="center"/>
          </w:tcPr>
          <w:p w14:paraId="4248DC73">
            <w:pPr>
              <w:widowControl/>
              <w:ind w:firstLine="0" w:firstLineChars="0"/>
              <w:jc w:val="center"/>
              <w:rPr>
                <w:rFonts w:eastAsia="宋体"/>
                <w:color w:val="000000"/>
                <w:kern w:val="0"/>
                <w:sz w:val="24"/>
              </w:rPr>
            </w:pPr>
            <w:r>
              <w:rPr>
                <w:rFonts w:eastAsia="宋体"/>
                <w:color w:val="000000"/>
                <w:kern w:val="0"/>
                <w:sz w:val="24"/>
              </w:rPr>
              <w:t>1.03</w:t>
            </w:r>
          </w:p>
        </w:tc>
        <w:tc>
          <w:tcPr>
            <w:tcW w:w="850" w:type="dxa"/>
            <w:tcBorders>
              <w:top w:val="nil"/>
              <w:left w:val="nil"/>
              <w:bottom w:val="single" w:color="auto" w:sz="4" w:space="0"/>
              <w:right w:val="single" w:color="auto" w:sz="4" w:space="0"/>
            </w:tcBorders>
            <w:shd w:val="clear" w:color="auto" w:fill="auto"/>
            <w:vAlign w:val="center"/>
          </w:tcPr>
          <w:p w14:paraId="192C3B92">
            <w:pPr>
              <w:widowControl/>
              <w:ind w:firstLine="0" w:firstLineChars="0"/>
              <w:jc w:val="center"/>
              <w:rPr>
                <w:rFonts w:eastAsia="宋体"/>
                <w:color w:val="000000"/>
                <w:kern w:val="0"/>
                <w:sz w:val="24"/>
              </w:rPr>
            </w:pPr>
            <w:r>
              <w:rPr>
                <w:rFonts w:eastAsia="宋体"/>
                <w:color w:val="000000"/>
                <w:kern w:val="0"/>
                <w:sz w:val="24"/>
              </w:rPr>
              <w:t>1.03</w:t>
            </w:r>
          </w:p>
        </w:tc>
        <w:tc>
          <w:tcPr>
            <w:tcW w:w="811" w:type="dxa"/>
            <w:tcBorders>
              <w:top w:val="nil"/>
              <w:left w:val="nil"/>
              <w:bottom w:val="single" w:color="auto" w:sz="4" w:space="0"/>
              <w:right w:val="single" w:color="auto" w:sz="4" w:space="0"/>
            </w:tcBorders>
            <w:shd w:val="clear" w:color="auto" w:fill="auto"/>
            <w:vAlign w:val="center"/>
          </w:tcPr>
          <w:p w14:paraId="67BE813A">
            <w:pPr>
              <w:widowControl/>
              <w:ind w:firstLine="0" w:firstLineChars="0"/>
              <w:jc w:val="center"/>
              <w:rPr>
                <w:rFonts w:eastAsia="宋体"/>
                <w:color w:val="000000"/>
                <w:kern w:val="0"/>
                <w:sz w:val="24"/>
              </w:rPr>
            </w:pPr>
            <w:r>
              <w:rPr>
                <w:rFonts w:eastAsia="宋体"/>
                <w:color w:val="000000"/>
                <w:kern w:val="0"/>
                <w:sz w:val="24"/>
              </w:rPr>
              <w:t>1.05</w:t>
            </w:r>
          </w:p>
        </w:tc>
        <w:tc>
          <w:tcPr>
            <w:tcW w:w="851" w:type="dxa"/>
            <w:tcBorders>
              <w:top w:val="nil"/>
              <w:left w:val="nil"/>
              <w:bottom w:val="single" w:color="auto" w:sz="4" w:space="0"/>
              <w:right w:val="single" w:color="auto" w:sz="4" w:space="0"/>
            </w:tcBorders>
            <w:shd w:val="clear" w:color="auto" w:fill="auto"/>
            <w:vAlign w:val="center"/>
          </w:tcPr>
          <w:p w14:paraId="3B47EFD5">
            <w:pPr>
              <w:widowControl/>
              <w:ind w:firstLine="0" w:firstLineChars="0"/>
              <w:jc w:val="center"/>
              <w:rPr>
                <w:rFonts w:eastAsia="宋体"/>
                <w:color w:val="000000"/>
                <w:kern w:val="0"/>
                <w:sz w:val="24"/>
              </w:rPr>
            </w:pPr>
            <w:r>
              <w:rPr>
                <w:rFonts w:eastAsia="宋体"/>
                <w:color w:val="000000"/>
                <w:kern w:val="0"/>
                <w:sz w:val="24"/>
              </w:rPr>
              <w:t>1.09</w:t>
            </w:r>
          </w:p>
        </w:tc>
        <w:tc>
          <w:tcPr>
            <w:tcW w:w="890" w:type="dxa"/>
            <w:tcBorders>
              <w:top w:val="nil"/>
              <w:left w:val="nil"/>
              <w:bottom w:val="single" w:color="auto" w:sz="4" w:space="0"/>
              <w:right w:val="single" w:color="auto" w:sz="4" w:space="0"/>
            </w:tcBorders>
            <w:shd w:val="clear" w:color="auto" w:fill="auto"/>
            <w:vAlign w:val="center"/>
          </w:tcPr>
          <w:p w14:paraId="0AAEFBC3">
            <w:pPr>
              <w:widowControl/>
              <w:ind w:firstLine="0" w:firstLineChars="0"/>
              <w:jc w:val="center"/>
              <w:rPr>
                <w:rFonts w:eastAsia="宋体"/>
                <w:color w:val="000000"/>
                <w:kern w:val="0"/>
                <w:sz w:val="24"/>
              </w:rPr>
            </w:pPr>
            <w:r>
              <w:rPr>
                <w:rFonts w:eastAsia="宋体"/>
                <w:color w:val="000000"/>
                <w:kern w:val="0"/>
                <w:sz w:val="24"/>
              </w:rPr>
              <w:t>1.05</w:t>
            </w:r>
          </w:p>
        </w:tc>
        <w:tc>
          <w:tcPr>
            <w:tcW w:w="850" w:type="dxa"/>
            <w:tcBorders>
              <w:top w:val="nil"/>
              <w:left w:val="nil"/>
              <w:bottom w:val="single" w:color="auto" w:sz="4" w:space="0"/>
              <w:right w:val="single" w:color="auto" w:sz="4" w:space="0"/>
            </w:tcBorders>
            <w:shd w:val="clear" w:color="auto" w:fill="auto"/>
            <w:vAlign w:val="center"/>
          </w:tcPr>
          <w:p w14:paraId="057CFC0C">
            <w:pPr>
              <w:widowControl/>
              <w:ind w:firstLine="0" w:firstLineChars="0"/>
              <w:jc w:val="center"/>
              <w:rPr>
                <w:rFonts w:eastAsia="宋体"/>
                <w:color w:val="000000"/>
                <w:kern w:val="0"/>
                <w:sz w:val="24"/>
              </w:rPr>
            </w:pPr>
            <w:r>
              <w:rPr>
                <w:rFonts w:eastAsia="宋体"/>
                <w:color w:val="000000"/>
                <w:kern w:val="0"/>
                <w:sz w:val="24"/>
              </w:rPr>
              <w:t>2.7</w:t>
            </w:r>
          </w:p>
        </w:tc>
      </w:tr>
      <w:tr w14:paraId="7450E5C9">
        <w:tblPrEx>
          <w:tblCellMar>
            <w:top w:w="0" w:type="dxa"/>
            <w:left w:w="108" w:type="dxa"/>
            <w:bottom w:w="0" w:type="dxa"/>
            <w:right w:w="108" w:type="dxa"/>
          </w:tblCellMar>
        </w:tblPrEx>
        <w:trPr>
          <w:trHeight w:val="567" w:hRule="atLeast"/>
          <w:jc w:val="center"/>
        </w:trPr>
        <w:tc>
          <w:tcPr>
            <w:tcW w:w="722" w:type="dxa"/>
            <w:tcBorders>
              <w:top w:val="nil"/>
              <w:left w:val="single" w:color="auto" w:sz="4" w:space="0"/>
              <w:bottom w:val="single" w:color="auto" w:sz="4" w:space="0"/>
              <w:right w:val="single" w:color="auto" w:sz="4" w:space="0"/>
            </w:tcBorders>
            <w:shd w:val="clear" w:color="auto" w:fill="auto"/>
            <w:vAlign w:val="center"/>
          </w:tcPr>
          <w:p w14:paraId="1B3F27AC">
            <w:pPr>
              <w:widowControl/>
              <w:ind w:firstLine="0" w:firstLineChars="0"/>
              <w:jc w:val="center"/>
              <w:rPr>
                <w:rFonts w:eastAsia="宋体"/>
                <w:color w:val="000000"/>
                <w:kern w:val="0"/>
                <w:sz w:val="24"/>
              </w:rPr>
            </w:pPr>
            <w:r>
              <w:rPr>
                <w:rFonts w:eastAsia="宋体"/>
                <w:color w:val="000000"/>
                <w:kern w:val="0"/>
                <w:sz w:val="24"/>
              </w:rPr>
              <w:t>3</w:t>
            </w:r>
          </w:p>
        </w:tc>
        <w:tc>
          <w:tcPr>
            <w:tcW w:w="1379" w:type="dxa"/>
            <w:tcBorders>
              <w:top w:val="nil"/>
              <w:left w:val="nil"/>
              <w:bottom w:val="single" w:color="auto" w:sz="4" w:space="0"/>
              <w:right w:val="single" w:color="auto" w:sz="4" w:space="0"/>
            </w:tcBorders>
            <w:shd w:val="clear" w:color="auto" w:fill="auto"/>
            <w:vAlign w:val="center"/>
          </w:tcPr>
          <w:p w14:paraId="1438A415">
            <w:pPr>
              <w:widowControl/>
              <w:ind w:firstLine="0" w:firstLineChars="0"/>
              <w:jc w:val="center"/>
              <w:rPr>
                <w:rFonts w:ascii="宋体" w:hAnsi="宋体" w:eastAsia="宋体" w:cs="宋体"/>
                <w:color w:val="000000"/>
                <w:kern w:val="0"/>
                <w:sz w:val="24"/>
              </w:rPr>
            </w:pPr>
            <w:r>
              <w:rPr>
                <w:rFonts w:hint="eastAsia" w:ascii="宋体" w:hAnsi="宋体" w:eastAsia="宋体" w:cs="宋体"/>
                <w:color w:val="000000"/>
                <w:kern w:val="0"/>
                <w:sz w:val="24"/>
              </w:rPr>
              <w:t>姜黄</w:t>
            </w:r>
          </w:p>
        </w:tc>
        <w:tc>
          <w:tcPr>
            <w:tcW w:w="1507" w:type="dxa"/>
            <w:tcBorders>
              <w:top w:val="nil"/>
              <w:left w:val="nil"/>
              <w:bottom w:val="single" w:color="auto" w:sz="4" w:space="0"/>
              <w:right w:val="single" w:color="auto" w:sz="4" w:space="0"/>
            </w:tcBorders>
            <w:shd w:val="clear" w:color="auto" w:fill="auto"/>
            <w:vAlign w:val="center"/>
          </w:tcPr>
          <w:p w14:paraId="3A2013C3">
            <w:pPr>
              <w:widowControl/>
              <w:ind w:firstLine="0" w:firstLineChars="0"/>
              <w:jc w:val="center"/>
              <w:rPr>
                <w:rFonts w:eastAsia="宋体"/>
                <w:kern w:val="0"/>
                <w:sz w:val="24"/>
              </w:rPr>
            </w:pPr>
            <w:r>
              <w:rPr>
                <w:rFonts w:eastAsia="宋体"/>
                <w:kern w:val="0"/>
                <w:sz w:val="24"/>
              </w:rPr>
              <w:t>2023030301</w:t>
            </w:r>
          </w:p>
        </w:tc>
        <w:tc>
          <w:tcPr>
            <w:tcW w:w="839" w:type="dxa"/>
            <w:tcBorders>
              <w:top w:val="nil"/>
              <w:left w:val="nil"/>
              <w:bottom w:val="single" w:color="auto" w:sz="4" w:space="0"/>
              <w:right w:val="single" w:color="auto" w:sz="4" w:space="0"/>
            </w:tcBorders>
            <w:shd w:val="clear" w:color="auto" w:fill="auto"/>
            <w:vAlign w:val="center"/>
          </w:tcPr>
          <w:p w14:paraId="0F63140E">
            <w:pPr>
              <w:widowControl/>
              <w:ind w:firstLine="0" w:firstLineChars="0"/>
              <w:jc w:val="center"/>
              <w:rPr>
                <w:rFonts w:eastAsia="宋体"/>
                <w:color w:val="000000"/>
                <w:kern w:val="0"/>
                <w:sz w:val="24"/>
              </w:rPr>
            </w:pPr>
            <w:r>
              <w:rPr>
                <w:rFonts w:eastAsia="宋体"/>
                <w:color w:val="000000"/>
                <w:kern w:val="0"/>
                <w:sz w:val="24"/>
              </w:rPr>
              <w:t>1.55</w:t>
            </w:r>
          </w:p>
        </w:tc>
        <w:tc>
          <w:tcPr>
            <w:tcW w:w="850" w:type="dxa"/>
            <w:tcBorders>
              <w:top w:val="nil"/>
              <w:left w:val="nil"/>
              <w:bottom w:val="single" w:color="auto" w:sz="4" w:space="0"/>
              <w:right w:val="single" w:color="auto" w:sz="4" w:space="0"/>
            </w:tcBorders>
            <w:shd w:val="clear" w:color="auto" w:fill="auto"/>
            <w:vAlign w:val="center"/>
          </w:tcPr>
          <w:p w14:paraId="572FBEB7">
            <w:pPr>
              <w:widowControl/>
              <w:ind w:firstLine="0" w:firstLineChars="0"/>
              <w:jc w:val="center"/>
              <w:rPr>
                <w:rFonts w:eastAsia="宋体"/>
                <w:color w:val="000000"/>
                <w:kern w:val="0"/>
                <w:sz w:val="24"/>
              </w:rPr>
            </w:pPr>
            <w:r>
              <w:rPr>
                <w:rFonts w:eastAsia="宋体"/>
                <w:color w:val="000000"/>
                <w:kern w:val="0"/>
                <w:sz w:val="24"/>
              </w:rPr>
              <w:t>1.61</w:t>
            </w:r>
          </w:p>
        </w:tc>
        <w:tc>
          <w:tcPr>
            <w:tcW w:w="811" w:type="dxa"/>
            <w:tcBorders>
              <w:top w:val="nil"/>
              <w:left w:val="nil"/>
              <w:bottom w:val="single" w:color="auto" w:sz="4" w:space="0"/>
              <w:right w:val="single" w:color="auto" w:sz="4" w:space="0"/>
            </w:tcBorders>
            <w:shd w:val="clear" w:color="auto" w:fill="auto"/>
            <w:vAlign w:val="center"/>
          </w:tcPr>
          <w:p w14:paraId="35F2631D">
            <w:pPr>
              <w:widowControl/>
              <w:ind w:firstLine="0" w:firstLineChars="0"/>
              <w:jc w:val="center"/>
              <w:rPr>
                <w:rFonts w:eastAsia="宋体"/>
                <w:color w:val="000000"/>
                <w:kern w:val="0"/>
                <w:sz w:val="24"/>
              </w:rPr>
            </w:pPr>
            <w:r>
              <w:rPr>
                <w:rFonts w:eastAsia="宋体"/>
                <w:color w:val="000000"/>
                <w:kern w:val="0"/>
                <w:sz w:val="24"/>
              </w:rPr>
              <w:t>1.59</w:t>
            </w:r>
          </w:p>
        </w:tc>
        <w:tc>
          <w:tcPr>
            <w:tcW w:w="851" w:type="dxa"/>
            <w:tcBorders>
              <w:top w:val="nil"/>
              <w:left w:val="nil"/>
              <w:bottom w:val="single" w:color="auto" w:sz="4" w:space="0"/>
              <w:right w:val="single" w:color="auto" w:sz="4" w:space="0"/>
            </w:tcBorders>
            <w:shd w:val="clear" w:color="auto" w:fill="auto"/>
            <w:vAlign w:val="center"/>
          </w:tcPr>
          <w:p w14:paraId="6FC9B453">
            <w:pPr>
              <w:widowControl/>
              <w:ind w:firstLine="0" w:firstLineChars="0"/>
              <w:jc w:val="center"/>
              <w:rPr>
                <w:rFonts w:eastAsia="宋体"/>
                <w:kern w:val="0"/>
                <w:sz w:val="24"/>
              </w:rPr>
            </w:pPr>
            <w:r>
              <w:rPr>
                <w:rFonts w:eastAsia="宋体"/>
                <w:kern w:val="0"/>
                <w:sz w:val="24"/>
              </w:rPr>
              <w:t>1.52</w:t>
            </w:r>
          </w:p>
        </w:tc>
        <w:tc>
          <w:tcPr>
            <w:tcW w:w="890" w:type="dxa"/>
            <w:tcBorders>
              <w:top w:val="nil"/>
              <w:left w:val="nil"/>
              <w:bottom w:val="single" w:color="auto" w:sz="4" w:space="0"/>
              <w:right w:val="single" w:color="auto" w:sz="4" w:space="0"/>
            </w:tcBorders>
            <w:shd w:val="clear" w:color="auto" w:fill="auto"/>
            <w:vAlign w:val="center"/>
          </w:tcPr>
          <w:p w14:paraId="72652FBD">
            <w:pPr>
              <w:widowControl/>
              <w:ind w:firstLine="0" w:firstLineChars="0"/>
              <w:jc w:val="center"/>
              <w:rPr>
                <w:rFonts w:eastAsia="宋体"/>
                <w:color w:val="000000"/>
                <w:kern w:val="0"/>
                <w:sz w:val="24"/>
              </w:rPr>
            </w:pPr>
            <w:r>
              <w:rPr>
                <w:rFonts w:eastAsia="宋体"/>
                <w:color w:val="000000"/>
                <w:kern w:val="0"/>
                <w:sz w:val="24"/>
              </w:rPr>
              <w:t>1.57</w:t>
            </w:r>
          </w:p>
        </w:tc>
        <w:tc>
          <w:tcPr>
            <w:tcW w:w="850" w:type="dxa"/>
            <w:tcBorders>
              <w:top w:val="nil"/>
              <w:left w:val="nil"/>
              <w:bottom w:val="single" w:color="auto" w:sz="4" w:space="0"/>
              <w:right w:val="single" w:color="auto" w:sz="4" w:space="0"/>
            </w:tcBorders>
            <w:shd w:val="clear" w:color="auto" w:fill="auto"/>
            <w:vAlign w:val="center"/>
          </w:tcPr>
          <w:p w14:paraId="30693961">
            <w:pPr>
              <w:widowControl/>
              <w:ind w:firstLine="0" w:firstLineChars="0"/>
              <w:jc w:val="center"/>
              <w:rPr>
                <w:rFonts w:eastAsia="宋体"/>
                <w:color w:val="000000"/>
                <w:kern w:val="0"/>
                <w:sz w:val="24"/>
              </w:rPr>
            </w:pPr>
            <w:r>
              <w:rPr>
                <w:rFonts w:eastAsia="宋体"/>
                <w:color w:val="000000"/>
                <w:kern w:val="0"/>
                <w:sz w:val="24"/>
              </w:rPr>
              <w:t>2.6</w:t>
            </w:r>
          </w:p>
        </w:tc>
      </w:tr>
      <w:tr w14:paraId="76C2F90F">
        <w:tblPrEx>
          <w:tblCellMar>
            <w:top w:w="0" w:type="dxa"/>
            <w:left w:w="108" w:type="dxa"/>
            <w:bottom w:w="0" w:type="dxa"/>
            <w:right w:w="108" w:type="dxa"/>
          </w:tblCellMar>
        </w:tblPrEx>
        <w:trPr>
          <w:trHeight w:val="567" w:hRule="atLeast"/>
          <w:jc w:val="center"/>
        </w:trPr>
        <w:tc>
          <w:tcPr>
            <w:tcW w:w="722" w:type="dxa"/>
            <w:tcBorders>
              <w:top w:val="nil"/>
              <w:left w:val="single" w:color="auto" w:sz="4" w:space="0"/>
              <w:bottom w:val="single" w:color="auto" w:sz="4" w:space="0"/>
              <w:right w:val="single" w:color="auto" w:sz="4" w:space="0"/>
            </w:tcBorders>
            <w:shd w:val="clear" w:color="auto" w:fill="auto"/>
            <w:vAlign w:val="center"/>
          </w:tcPr>
          <w:p w14:paraId="68AFB13D">
            <w:pPr>
              <w:widowControl/>
              <w:ind w:firstLine="0" w:firstLineChars="0"/>
              <w:jc w:val="center"/>
              <w:rPr>
                <w:rFonts w:eastAsia="宋体"/>
                <w:color w:val="000000"/>
                <w:kern w:val="0"/>
                <w:sz w:val="24"/>
              </w:rPr>
            </w:pPr>
            <w:r>
              <w:rPr>
                <w:rFonts w:eastAsia="宋体"/>
                <w:color w:val="000000"/>
                <w:kern w:val="0"/>
                <w:sz w:val="24"/>
              </w:rPr>
              <w:t>4</w:t>
            </w:r>
          </w:p>
        </w:tc>
        <w:tc>
          <w:tcPr>
            <w:tcW w:w="1379" w:type="dxa"/>
            <w:tcBorders>
              <w:top w:val="nil"/>
              <w:left w:val="nil"/>
              <w:bottom w:val="single" w:color="auto" w:sz="4" w:space="0"/>
              <w:right w:val="single" w:color="auto" w:sz="4" w:space="0"/>
            </w:tcBorders>
            <w:shd w:val="clear" w:color="auto" w:fill="auto"/>
            <w:vAlign w:val="center"/>
          </w:tcPr>
          <w:p w14:paraId="4BB3A2FF">
            <w:pPr>
              <w:widowControl/>
              <w:ind w:firstLine="0" w:firstLineChars="0"/>
              <w:jc w:val="center"/>
              <w:rPr>
                <w:rFonts w:ascii="宋体" w:hAnsi="宋体" w:eastAsia="宋体" w:cs="宋体"/>
                <w:color w:val="000000"/>
                <w:kern w:val="0"/>
                <w:sz w:val="24"/>
              </w:rPr>
            </w:pPr>
            <w:r>
              <w:rPr>
                <w:rFonts w:hint="eastAsia" w:ascii="宋体" w:hAnsi="宋体" w:eastAsia="宋体" w:cs="宋体"/>
                <w:color w:val="000000"/>
                <w:kern w:val="0"/>
                <w:sz w:val="24"/>
              </w:rPr>
              <w:t>姜黄</w:t>
            </w:r>
          </w:p>
        </w:tc>
        <w:tc>
          <w:tcPr>
            <w:tcW w:w="1507" w:type="dxa"/>
            <w:tcBorders>
              <w:top w:val="nil"/>
              <w:left w:val="nil"/>
              <w:bottom w:val="single" w:color="auto" w:sz="4" w:space="0"/>
              <w:right w:val="single" w:color="auto" w:sz="4" w:space="0"/>
            </w:tcBorders>
            <w:shd w:val="clear" w:color="auto" w:fill="auto"/>
            <w:vAlign w:val="center"/>
          </w:tcPr>
          <w:p w14:paraId="6662C5B9">
            <w:pPr>
              <w:widowControl/>
              <w:ind w:firstLine="0" w:firstLineChars="0"/>
              <w:jc w:val="center"/>
              <w:rPr>
                <w:rFonts w:eastAsia="宋体"/>
                <w:kern w:val="0"/>
                <w:sz w:val="24"/>
              </w:rPr>
            </w:pPr>
            <w:r>
              <w:rPr>
                <w:rFonts w:eastAsia="宋体"/>
                <w:kern w:val="0"/>
                <w:sz w:val="24"/>
              </w:rPr>
              <w:t>2408050002</w:t>
            </w:r>
          </w:p>
        </w:tc>
        <w:tc>
          <w:tcPr>
            <w:tcW w:w="839" w:type="dxa"/>
            <w:tcBorders>
              <w:top w:val="nil"/>
              <w:left w:val="nil"/>
              <w:bottom w:val="single" w:color="auto" w:sz="4" w:space="0"/>
              <w:right w:val="single" w:color="auto" w:sz="4" w:space="0"/>
            </w:tcBorders>
            <w:shd w:val="clear" w:color="auto" w:fill="auto"/>
            <w:vAlign w:val="center"/>
          </w:tcPr>
          <w:p w14:paraId="70C78662">
            <w:pPr>
              <w:widowControl/>
              <w:ind w:firstLine="0" w:firstLineChars="0"/>
              <w:jc w:val="center"/>
              <w:rPr>
                <w:rFonts w:eastAsia="宋体"/>
                <w:color w:val="000000"/>
                <w:kern w:val="0"/>
                <w:sz w:val="24"/>
              </w:rPr>
            </w:pPr>
            <w:r>
              <w:rPr>
                <w:rFonts w:eastAsia="宋体"/>
                <w:color w:val="000000"/>
                <w:kern w:val="0"/>
                <w:sz w:val="24"/>
              </w:rPr>
              <w:t>0.0565</w:t>
            </w:r>
          </w:p>
        </w:tc>
        <w:tc>
          <w:tcPr>
            <w:tcW w:w="850" w:type="dxa"/>
            <w:tcBorders>
              <w:top w:val="nil"/>
              <w:left w:val="nil"/>
              <w:bottom w:val="single" w:color="auto" w:sz="4" w:space="0"/>
              <w:right w:val="single" w:color="auto" w:sz="4" w:space="0"/>
            </w:tcBorders>
            <w:shd w:val="clear" w:color="auto" w:fill="auto"/>
            <w:vAlign w:val="center"/>
          </w:tcPr>
          <w:p w14:paraId="37777F03">
            <w:pPr>
              <w:widowControl/>
              <w:ind w:firstLine="0" w:firstLineChars="0"/>
              <w:jc w:val="center"/>
              <w:rPr>
                <w:rFonts w:eastAsia="宋体"/>
                <w:color w:val="000000"/>
                <w:kern w:val="0"/>
                <w:sz w:val="24"/>
              </w:rPr>
            </w:pPr>
            <w:r>
              <w:rPr>
                <w:rFonts w:eastAsia="宋体"/>
                <w:color w:val="000000"/>
                <w:kern w:val="0"/>
                <w:sz w:val="24"/>
              </w:rPr>
              <w:t>0.0629</w:t>
            </w:r>
          </w:p>
        </w:tc>
        <w:tc>
          <w:tcPr>
            <w:tcW w:w="811" w:type="dxa"/>
            <w:tcBorders>
              <w:top w:val="nil"/>
              <w:left w:val="nil"/>
              <w:bottom w:val="single" w:color="auto" w:sz="4" w:space="0"/>
              <w:right w:val="single" w:color="auto" w:sz="4" w:space="0"/>
            </w:tcBorders>
            <w:shd w:val="clear" w:color="auto" w:fill="auto"/>
            <w:vAlign w:val="center"/>
          </w:tcPr>
          <w:p w14:paraId="7700B11A">
            <w:pPr>
              <w:widowControl/>
              <w:ind w:firstLine="0" w:firstLineChars="0"/>
              <w:jc w:val="center"/>
              <w:rPr>
                <w:rFonts w:eastAsia="宋体"/>
                <w:color w:val="000000"/>
                <w:kern w:val="0"/>
                <w:sz w:val="24"/>
              </w:rPr>
            </w:pPr>
            <w:r>
              <w:rPr>
                <w:rFonts w:eastAsia="宋体"/>
                <w:color w:val="000000"/>
                <w:kern w:val="0"/>
                <w:sz w:val="24"/>
              </w:rPr>
              <w:t>0.0574</w:t>
            </w:r>
          </w:p>
        </w:tc>
        <w:tc>
          <w:tcPr>
            <w:tcW w:w="851" w:type="dxa"/>
            <w:tcBorders>
              <w:top w:val="nil"/>
              <w:left w:val="nil"/>
              <w:bottom w:val="single" w:color="auto" w:sz="4" w:space="0"/>
              <w:right w:val="single" w:color="auto" w:sz="4" w:space="0"/>
            </w:tcBorders>
            <w:shd w:val="clear" w:color="auto" w:fill="auto"/>
            <w:vAlign w:val="center"/>
          </w:tcPr>
          <w:p w14:paraId="52B765E0">
            <w:pPr>
              <w:widowControl/>
              <w:ind w:firstLine="0" w:firstLineChars="0"/>
              <w:jc w:val="center"/>
              <w:rPr>
                <w:rFonts w:eastAsia="宋体"/>
                <w:color w:val="000000"/>
                <w:kern w:val="0"/>
                <w:sz w:val="24"/>
              </w:rPr>
            </w:pPr>
            <w:r>
              <w:rPr>
                <w:rFonts w:eastAsia="宋体"/>
                <w:color w:val="000000"/>
                <w:kern w:val="0"/>
                <w:sz w:val="24"/>
              </w:rPr>
              <w:t>0.06</w:t>
            </w:r>
          </w:p>
        </w:tc>
        <w:tc>
          <w:tcPr>
            <w:tcW w:w="890" w:type="dxa"/>
            <w:tcBorders>
              <w:top w:val="nil"/>
              <w:left w:val="nil"/>
              <w:bottom w:val="single" w:color="auto" w:sz="4" w:space="0"/>
              <w:right w:val="single" w:color="auto" w:sz="4" w:space="0"/>
            </w:tcBorders>
            <w:shd w:val="clear" w:color="auto" w:fill="auto"/>
            <w:vAlign w:val="center"/>
          </w:tcPr>
          <w:p w14:paraId="6489566B">
            <w:pPr>
              <w:widowControl/>
              <w:ind w:firstLine="0" w:firstLineChars="0"/>
              <w:jc w:val="center"/>
              <w:rPr>
                <w:rFonts w:eastAsia="宋体"/>
                <w:color w:val="000000"/>
                <w:kern w:val="0"/>
                <w:sz w:val="24"/>
              </w:rPr>
            </w:pPr>
            <w:r>
              <w:rPr>
                <w:rFonts w:eastAsia="宋体"/>
                <w:color w:val="000000"/>
                <w:kern w:val="0"/>
                <w:sz w:val="24"/>
              </w:rPr>
              <w:t>0.0592</w:t>
            </w:r>
          </w:p>
        </w:tc>
        <w:tc>
          <w:tcPr>
            <w:tcW w:w="850" w:type="dxa"/>
            <w:tcBorders>
              <w:top w:val="nil"/>
              <w:left w:val="nil"/>
              <w:bottom w:val="single" w:color="auto" w:sz="4" w:space="0"/>
              <w:right w:val="single" w:color="auto" w:sz="4" w:space="0"/>
            </w:tcBorders>
            <w:shd w:val="clear" w:color="auto" w:fill="auto"/>
            <w:vAlign w:val="center"/>
          </w:tcPr>
          <w:p w14:paraId="68EAD855">
            <w:pPr>
              <w:widowControl/>
              <w:ind w:firstLine="0" w:firstLineChars="0"/>
              <w:jc w:val="center"/>
              <w:rPr>
                <w:rFonts w:eastAsia="宋体"/>
                <w:color w:val="000000"/>
                <w:kern w:val="0"/>
                <w:sz w:val="24"/>
              </w:rPr>
            </w:pPr>
            <w:r>
              <w:rPr>
                <w:rFonts w:eastAsia="宋体"/>
                <w:color w:val="000000"/>
                <w:kern w:val="0"/>
                <w:sz w:val="24"/>
              </w:rPr>
              <w:t>4.9</w:t>
            </w:r>
          </w:p>
        </w:tc>
      </w:tr>
      <w:tr w14:paraId="6DFC0206">
        <w:tblPrEx>
          <w:tblCellMar>
            <w:top w:w="0" w:type="dxa"/>
            <w:left w:w="108" w:type="dxa"/>
            <w:bottom w:w="0" w:type="dxa"/>
            <w:right w:w="108" w:type="dxa"/>
          </w:tblCellMar>
        </w:tblPrEx>
        <w:trPr>
          <w:trHeight w:val="567" w:hRule="atLeast"/>
          <w:jc w:val="center"/>
        </w:trPr>
        <w:tc>
          <w:tcPr>
            <w:tcW w:w="722" w:type="dxa"/>
            <w:tcBorders>
              <w:top w:val="nil"/>
              <w:left w:val="single" w:color="auto" w:sz="4" w:space="0"/>
              <w:bottom w:val="single" w:color="auto" w:sz="4" w:space="0"/>
              <w:right w:val="single" w:color="auto" w:sz="4" w:space="0"/>
            </w:tcBorders>
            <w:shd w:val="clear" w:color="auto" w:fill="auto"/>
            <w:vAlign w:val="center"/>
          </w:tcPr>
          <w:p w14:paraId="5B3F6115">
            <w:pPr>
              <w:widowControl/>
              <w:ind w:firstLine="0" w:firstLineChars="0"/>
              <w:jc w:val="center"/>
              <w:rPr>
                <w:rFonts w:eastAsia="宋体"/>
                <w:color w:val="000000"/>
                <w:kern w:val="0"/>
                <w:sz w:val="24"/>
              </w:rPr>
            </w:pPr>
            <w:r>
              <w:rPr>
                <w:rFonts w:eastAsia="宋体"/>
                <w:color w:val="000000"/>
                <w:kern w:val="0"/>
                <w:sz w:val="24"/>
              </w:rPr>
              <w:t>5</w:t>
            </w:r>
          </w:p>
        </w:tc>
        <w:tc>
          <w:tcPr>
            <w:tcW w:w="1379" w:type="dxa"/>
            <w:tcBorders>
              <w:top w:val="nil"/>
              <w:left w:val="nil"/>
              <w:bottom w:val="single" w:color="auto" w:sz="4" w:space="0"/>
              <w:right w:val="single" w:color="auto" w:sz="4" w:space="0"/>
            </w:tcBorders>
            <w:shd w:val="clear" w:color="auto" w:fill="auto"/>
            <w:vAlign w:val="center"/>
          </w:tcPr>
          <w:p w14:paraId="09E66628">
            <w:pPr>
              <w:widowControl/>
              <w:ind w:firstLine="0" w:firstLineChars="0"/>
              <w:jc w:val="center"/>
              <w:rPr>
                <w:rFonts w:ascii="宋体" w:hAnsi="宋体" w:eastAsia="宋体" w:cs="宋体"/>
                <w:color w:val="000000"/>
                <w:kern w:val="0"/>
                <w:sz w:val="24"/>
              </w:rPr>
            </w:pPr>
            <w:r>
              <w:rPr>
                <w:rFonts w:hint="eastAsia" w:ascii="宋体" w:hAnsi="宋体" w:eastAsia="宋体" w:cs="宋体"/>
                <w:color w:val="000000"/>
                <w:kern w:val="0"/>
                <w:sz w:val="24"/>
              </w:rPr>
              <w:t>姜黄</w:t>
            </w:r>
          </w:p>
        </w:tc>
        <w:tc>
          <w:tcPr>
            <w:tcW w:w="1507" w:type="dxa"/>
            <w:tcBorders>
              <w:top w:val="nil"/>
              <w:left w:val="nil"/>
              <w:bottom w:val="single" w:color="auto" w:sz="4" w:space="0"/>
              <w:right w:val="single" w:color="auto" w:sz="4" w:space="0"/>
            </w:tcBorders>
            <w:shd w:val="clear" w:color="auto" w:fill="auto"/>
            <w:vAlign w:val="center"/>
          </w:tcPr>
          <w:p w14:paraId="2C542255">
            <w:pPr>
              <w:widowControl/>
              <w:ind w:firstLine="0" w:firstLineChars="0"/>
              <w:jc w:val="center"/>
              <w:rPr>
                <w:rFonts w:eastAsia="宋体"/>
                <w:kern w:val="0"/>
                <w:sz w:val="24"/>
              </w:rPr>
            </w:pPr>
            <w:r>
              <w:rPr>
                <w:rFonts w:eastAsia="宋体"/>
                <w:kern w:val="0"/>
                <w:sz w:val="24"/>
              </w:rPr>
              <w:t>2024083001</w:t>
            </w:r>
          </w:p>
        </w:tc>
        <w:tc>
          <w:tcPr>
            <w:tcW w:w="839" w:type="dxa"/>
            <w:tcBorders>
              <w:top w:val="nil"/>
              <w:left w:val="nil"/>
              <w:bottom w:val="single" w:color="auto" w:sz="4" w:space="0"/>
              <w:right w:val="single" w:color="auto" w:sz="4" w:space="0"/>
            </w:tcBorders>
            <w:shd w:val="clear" w:color="auto" w:fill="auto"/>
            <w:vAlign w:val="center"/>
          </w:tcPr>
          <w:p w14:paraId="54275643">
            <w:pPr>
              <w:widowControl/>
              <w:ind w:firstLine="0" w:firstLineChars="0"/>
              <w:jc w:val="center"/>
              <w:rPr>
                <w:rFonts w:eastAsia="宋体"/>
                <w:color w:val="000000"/>
                <w:kern w:val="0"/>
                <w:sz w:val="24"/>
              </w:rPr>
            </w:pPr>
            <w:r>
              <w:rPr>
                <w:rFonts w:eastAsia="宋体"/>
                <w:color w:val="000000"/>
                <w:kern w:val="0"/>
                <w:sz w:val="24"/>
              </w:rPr>
              <w:t>1.02</w:t>
            </w:r>
          </w:p>
        </w:tc>
        <w:tc>
          <w:tcPr>
            <w:tcW w:w="850" w:type="dxa"/>
            <w:tcBorders>
              <w:top w:val="nil"/>
              <w:left w:val="nil"/>
              <w:bottom w:val="single" w:color="auto" w:sz="4" w:space="0"/>
              <w:right w:val="single" w:color="auto" w:sz="4" w:space="0"/>
            </w:tcBorders>
            <w:shd w:val="clear" w:color="auto" w:fill="auto"/>
            <w:vAlign w:val="center"/>
          </w:tcPr>
          <w:p w14:paraId="4989396E">
            <w:pPr>
              <w:widowControl/>
              <w:ind w:firstLine="0" w:firstLineChars="0"/>
              <w:jc w:val="center"/>
              <w:rPr>
                <w:rFonts w:eastAsia="宋体"/>
                <w:color w:val="000000"/>
                <w:kern w:val="0"/>
                <w:sz w:val="24"/>
              </w:rPr>
            </w:pPr>
            <w:r>
              <w:rPr>
                <w:rFonts w:eastAsia="宋体"/>
                <w:color w:val="000000"/>
                <w:kern w:val="0"/>
                <w:sz w:val="24"/>
              </w:rPr>
              <w:t>1.07</w:t>
            </w:r>
          </w:p>
        </w:tc>
        <w:tc>
          <w:tcPr>
            <w:tcW w:w="811" w:type="dxa"/>
            <w:tcBorders>
              <w:top w:val="nil"/>
              <w:left w:val="nil"/>
              <w:bottom w:val="single" w:color="auto" w:sz="4" w:space="0"/>
              <w:right w:val="single" w:color="auto" w:sz="4" w:space="0"/>
            </w:tcBorders>
            <w:shd w:val="clear" w:color="auto" w:fill="auto"/>
            <w:vAlign w:val="center"/>
          </w:tcPr>
          <w:p w14:paraId="6C40B3BB">
            <w:pPr>
              <w:widowControl/>
              <w:ind w:firstLine="0" w:firstLineChars="0"/>
              <w:jc w:val="center"/>
              <w:rPr>
                <w:rFonts w:eastAsia="宋体"/>
                <w:color w:val="000000"/>
                <w:kern w:val="0"/>
                <w:sz w:val="24"/>
              </w:rPr>
            </w:pPr>
            <w:r>
              <w:rPr>
                <w:rFonts w:eastAsia="宋体"/>
                <w:color w:val="000000"/>
                <w:kern w:val="0"/>
                <w:sz w:val="24"/>
              </w:rPr>
              <w:t>1.09</w:t>
            </w:r>
          </w:p>
        </w:tc>
        <w:tc>
          <w:tcPr>
            <w:tcW w:w="851" w:type="dxa"/>
            <w:tcBorders>
              <w:top w:val="nil"/>
              <w:left w:val="nil"/>
              <w:bottom w:val="single" w:color="auto" w:sz="4" w:space="0"/>
              <w:right w:val="single" w:color="auto" w:sz="4" w:space="0"/>
            </w:tcBorders>
            <w:shd w:val="clear" w:color="auto" w:fill="auto"/>
            <w:vAlign w:val="center"/>
          </w:tcPr>
          <w:p w14:paraId="472A683E">
            <w:pPr>
              <w:widowControl/>
              <w:ind w:firstLine="0" w:firstLineChars="0"/>
              <w:jc w:val="center"/>
              <w:rPr>
                <w:rFonts w:eastAsia="宋体"/>
                <w:color w:val="000000"/>
                <w:kern w:val="0"/>
                <w:sz w:val="24"/>
              </w:rPr>
            </w:pPr>
            <w:r>
              <w:rPr>
                <w:rFonts w:eastAsia="宋体"/>
                <w:color w:val="000000"/>
                <w:kern w:val="0"/>
                <w:sz w:val="24"/>
              </w:rPr>
              <w:t>1.06</w:t>
            </w:r>
          </w:p>
        </w:tc>
        <w:tc>
          <w:tcPr>
            <w:tcW w:w="890" w:type="dxa"/>
            <w:tcBorders>
              <w:top w:val="nil"/>
              <w:left w:val="nil"/>
              <w:bottom w:val="single" w:color="auto" w:sz="4" w:space="0"/>
              <w:right w:val="single" w:color="auto" w:sz="4" w:space="0"/>
            </w:tcBorders>
            <w:shd w:val="clear" w:color="auto" w:fill="auto"/>
            <w:vAlign w:val="center"/>
          </w:tcPr>
          <w:p w14:paraId="22B3C6C9">
            <w:pPr>
              <w:widowControl/>
              <w:ind w:firstLine="0" w:firstLineChars="0"/>
              <w:jc w:val="center"/>
              <w:rPr>
                <w:rFonts w:eastAsia="宋体"/>
                <w:color w:val="000000"/>
                <w:kern w:val="0"/>
                <w:sz w:val="24"/>
              </w:rPr>
            </w:pPr>
            <w:r>
              <w:rPr>
                <w:rFonts w:eastAsia="宋体"/>
                <w:color w:val="000000"/>
                <w:kern w:val="0"/>
                <w:sz w:val="24"/>
              </w:rPr>
              <w:t>1.06</w:t>
            </w:r>
          </w:p>
        </w:tc>
        <w:tc>
          <w:tcPr>
            <w:tcW w:w="850" w:type="dxa"/>
            <w:tcBorders>
              <w:top w:val="nil"/>
              <w:left w:val="nil"/>
              <w:bottom w:val="single" w:color="auto" w:sz="4" w:space="0"/>
              <w:right w:val="single" w:color="auto" w:sz="4" w:space="0"/>
            </w:tcBorders>
            <w:shd w:val="clear" w:color="auto" w:fill="auto"/>
            <w:vAlign w:val="center"/>
          </w:tcPr>
          <w:p w14:paraId="3C0F0A85">
            <w:pPr>
              <w:widowControl/>
              <w:ind w:firstLine="0" w:firstLineChars="0"/>
              <w:jc w:val="center"/>
              <w:rPr>
                <w:rFonts w:eastAsia="宋体"/>
                <w:color w:val="000000"/>
                <w:kern w:val="0"/>
                <w:sz w:val="24"/>
              </w:rPr>
            </w:pPr>
            <w:r>
              <w:rPr>
                <w:rFonts w:eastAsia="宋体"/>
                <w:color w:val="000000"/>
                <w:kern w:val="0"/>
                <w:sz w:val="24"/>
              </w:rPr>
              <w:t>2.8</w:t>
            </w:r>
          </w:p>
        </w:tc>
      </w:tr>
      <w:tr w14:paraId="19C3DD75">
        <w:tblPrEx>
          <w:tblCellMar>
            <w:top w:w="0" w:type="dxa"/>
            <w:left w:w="108" w:type="dxa"/>
            <w:bottom w:w="0" w:type="dxa"/>
            <w:right w:w="108" w:type="dxa"/>
          </w:tblCellMar>
        </w:tblPrEx>
        <w:trPr>
          <w:trHeight w:val="567" w:hRule="atLeast"/>
          <w:jc w:val="center"/>
        </w:trPr>
        <w:tc>
          <w:tcPr>
            <w:tcW w:w="722" w:type="dxa"/>
            <w:tcBorders>
              <w:top w:val="nil"/>
              <w:left w:val="single" w:color="auto" w:sz="4" w:space="0"/>
              <w:bottom w:val="single" w:color="auto" w:sz="4" w:space="0"/>
              <w:right w:val="single" w:color="auto" w:sz="4" w:space="0"/>
            </w:tcBorders>
            <w:shd w:val="clear" w:color="auto" w:fill="auto"/>
            <w:vAlign w:val="center"/>
          </w:tcPr>
          <w:p w14:paraId="23881B6A">
            <w:pPr>
              <w:widowControl/>
              <w:ind w:firstLine="0" w:firstLineChars="0"/>
              <w:jc w:val="center"/>
              <w:rPr>
                <w:rFonts w:eastAsia="宋体"/>
                <w:color w:val="000000"/>
                <w:kern w:val="0"/>
                <w:sz w:val="24"/>
              </w:rPr>
            </w:pPr>
            <w:r>
              <w:rPr>
                <w:rFonts w:eastAsia="宋体"/>
                <w:color w:val="000000"/>
                <w:kern w:val="0"/>
                <w:sz w:val="24"/>
              </w:rPr>
              <w:t>6</w:t>
            </w:r>
          </w:p>
        </w:tc>
        <w:tc>
          <w:tcPr>
            <w:tcW w:w="1379" w:type="dxa"/>
            <w:tcBorders>
              <w:top w:val="nil"/>
              <w:left w:val="nil"/>
              <w:bottom w:val="single" w:color="auto" w:sz="4" w:space="0"/>
              <w:right w:val="single" w:color="auto" w:sz="4" w:space="0"/>
            </w:tcBorders>
            <w:shd w:val="clear" w:color="auto" w:fill="auto"/>
            <w:vAlign w:val="center"/>
          </w:tcPr>
          <w:p w14:paraId="44F33B8C">
            <w:pPr>
              <w:widowControl/>
              <w:ind w:firstLine="0" w:firstLineChars="0"/>
              <w:jc w:val="center"/>
              <w:rPr>
                <w:rFonts w:ascii="宋体" w:hAnsi="宋体" w:eastAsia="宋体" w:cs="宋体"/>
                <w:color w:val="000000"/>
                <w:kern w:val="0"/>
                <w:sz w:val="24"/>
              </w:rPr>
            </w:pPr>
            <w:r>
              <w:rPr>
                <w:rFonts w:hint="eastAsia" w:ascii="宋体" w:hAnsi="宋体" w:eastAsia="宋体" w:cs="宋体"/>
                <w:color w:val="000000"/>
                <w:kern w:val="0"/>
                <w:sz w:val="24"/>
              </w:rPr>
              <w:t>姜黄</w:t>
            </w:r>
          </w:p>
        </w:tc>
        <w:tc>
          <w:tcPr>
            <w:tcW w:w="1507" w:type="dxa"/>
            <w:tcBorders>
              <w:top w:val="nil"/>
              <w:left w:val="nil"/>
              <w:bottom w:val="single" w:color="auto" w:sz="4" w:space="0"/>
              <w:right w:val="single" w:color="auto" w:sz="4" w:space="0"/>
            </w:tcBorders>
            <w:shd w:val="clear" w:color="auto" w:fill="auto"/>
            <w:vAlign w:val="center"/>
          </w:tcPr>
          <w:p w14:paraId="44D36D15">
            <w:pPr>
              <w:widowControl/>
              <w:ind w:firstLine="0" w:firstLineChars="0"/>
              <w:jc w:val="center"/>
              <w:rPr>
                <w:rFonts w:eastAsia="宋体"/>
                <w:color w:val="000000"/>
                <w:kern w:val="0"/>
                <w:sz w:val="24"/>
              </w:rPr>
            </w:pPr>
            <w:r>
              <w:rPr>
                <w:rFonts w:eastAsia="宋体"/>
                <w:color w:val="000000"/>
                <w:kern w:val="0"/>
                <w:sz w:val="24"/>
              </w:rPr>
              <w:t>2024101501</w:t>
            </w:r>
          </w:p>
        </w:tc>
        <w:tc>
          <w:tcPr>
            <w:tcW w:w="839" w:type="dxa"/>
            <w:tcBorders>
              <w:top w:val="nil"/>
              <w:left w:val="nil"/>
              <w:bottom w:val="single" w:color="auto" w:sz="4" w:space="0"/>
              <w:right w:val="single" w:color="auto" w:sz="4" w:space="0"/>
            </w:tcBorders>
            <w:shd w:val="clear" w:color="auto" w:fill="auto"/>
            <w:vAlign w:val="center"/>
          </w:tcPr>
          <w:p w14:paraId="3075520D">
            <w:pPr>
              <w:widowControl/>
              <w:ind w:firstLine="0" w:firstLineChars="0"/>
              <w:jc w:val="center"/>
              <w:rPr>
                <w:rFonts w:eastAsia="宋体"/>
                <w:color w:val="000000"/>
                <w:kern w:val="0"/>
                <w:sz w:val="24"/>
              </w:rPr>
            </w:pPr>
            <w:r>
              <w:rPr>
                <w:rFonts w:eastAsia="宋体"/>
                <w:color w:val="000000"/>
                <w:kern w:val="0"/>
                <w:sz w:val="24"/>
              </w:rPr>
              <w:t>2.25</w:t>
            </w:r>
          </w:p>
        </w:tc>
        <w:tc>
          <w:tcPr>
            <w:tcW w:w="850" w:type="dxa"/>
            <w:tcBorders>
              <w:top w:val="nil"/>
              <w:left w:val="nil"/>
              <w:bottom w:val="single" w:color="auto" w:sz="4" w:space="0"/>
              <w:right w:val="single" w:color="auto" w:sz="4" w:space="0"/>
            </w:tcBorders>
            <w:shd w:val="clear" w:color="auto" w:fill="auto"/>
            <w:vAlign w:val="center"/>
          </w:tcPr>
          <w:p w14:paraId="1D91AA47">
            <w:pPr>
              <w:widowControl/>
              <w:ind w:firstLine="0" w:firstLineChars="0"/>
              <w:jc w:val="center"/>
              <w:rPr>
                <w:rFonts w:eastAsia="宋体"/>
                <w:color w:val="000000"/>
                <w:kern w:val="0"/>
                <w:sz w:val="24"/>
              </w:rPr>
            </w:pPr>
            <w:r>
              <w:rPr>
                <w:rFonts w:eastAsia="宋体"/>
                <w:color w:val="000000"/>
                <w:kern w:val="0"/>
                <w:sz w:val="24"/>
              </w:rPr>
              <w:t>2.37</w:t>
            </w:r>
          </w:p>
        </w:tc>
        <w:tc>
          <w:tcPr>
            <w:tcW w:w="811" w:type="dxa"/>
            <w:tcBorders>
              <w:top w:val="nil"/>
              <w:left w:val="nil"/>
              <w:bottom w:val="single" w:color="auto" w:sz="4" w:space="0"/>
              <w:right w:val="single" w:color="auto" w:sz="4" w:space="0"/>
            </w:tcBorders>
            <w:shd w:val="clear" w:color="auto" w:fill="auto"/>
            <w:vAlign w:val="center"/>
          </w:tcPr>
          <w:p w14:paraId="211528AA">
            <w:pPr>
              <w:widowControl/>
              <w:ind w:firstLine="0" w:firstLineChars="0"/>
              <w:jc w:val="center"/>
              <w:rPr>
                <w:rFonts w:eastAsia="宋体"/>
                <w:color w:val="000000"/>
                <w:kern w:val="0"/>
                <w:sz w:val="24"/>
              </w:rPr>
            </w:pPr>
            <w:r>
              <w:rPr>
                <w:rFonts w:eastAsia="宋体"/>
                <w:color w:val="000000"/>
                <w:kern w:val="0"/>
                <w:sz w:val="24"/>
              </w:rPr>
              <w:t>2.29</w:t>
            </w:r>
          </w:p>
        </w:tc>
        <w:tc>
          <w:tcPr>
            <w:tcW w:w="851" w:type="dxa"/>
            <w:tcBorders>
              <w:top w:val="nil"/>
              <w:left w:val="nil"/>
              <w:bottom w:val="single" w:color="auto" w:sz="4" w:space="0"/>
              <w:right w:val="single" w:color="auto" w:sz="4" w:space="0"/>
            </w:tcBorders>
            <w:shd w:val="clear" w:color="auto" w:fill="auto"/>
            <w:vAlign w:val="center"/>
          </w:tcPr>
          <w:p w14:paraId="4F3FB8D1">
            <w:pPr>
              <w:widowControl/>
              <w:ind w:firstLine="0" w:firstLineChars="0"/>
              <w:jc w:val="center"/>
              <w:rPr>
                <w:rFonts w:eastAsia="宋体"/>
                <w:color w:val="000000"/>
                <w:kern w:val="0"/>
                <w:sz w:val="24"/>
              </w:rPr>
            </w:pPr>
            <w:r>
              <w:rPr>
                <w:rFonts w:eastAsia="宋体"/>
                <w:color w:val="000000"/>
                <w:kern w:val="0"/>
                <w:sz w:val="24"/>
              </w:rPr>
              <w:t>2.34</w:t>
            </w:r>
          </w:p>
        </w:tc>
        <w:tc>
          <w:tcPr>
            <w:tcW w:w="890" w:type="dxa"/>
            <w:tcBorders>
              <w:top w:val="nil"/>
              <w:left w:val="nil"/>
              <w:bottom w:val="single" w:color="auto" w:sz="4" w:space="0"/>
              <w:right w:val="single" w:color="auto" w:sz="4" w:space="0"/>
            </w:tcBorders>
            <w:shd w:val="clear" w:color="auto" w:fill="auto"/>
            <w:vAlign w:val="center"/>
          </w:tcPr>
          <w:p w14:paraId="5F66AD70">
            <w:pPr>
              <w:widowControl/>
              <w:ind w:firstLine="0" w:firstLineChars="0"/>
              <w:jc w:val="center"/>
              <w:rPr>
                <w:rFonts w:eastAsia="宋体"/>
                <w:color w:val="000000"/>
                <w:kern w:val="0"/>
                <w:sz w:val="24"/>
              </w:rPr>
            </w:pPr>
            <w:r>
              <w:rPr>
                <w:rFonts w:eastAsia="宋体"/>
                <w:color w:val="000000"/>
                <w:kern w:val="0"/>
                <w:sz w:val="24"/>
              </w:rPr>
              <w:t>2.31</w:t>
            </w:r>
          </w:p>
        </w:tc>
        <w:tc>
          <w:tcPr>
            <w:tcW w:w="850" w:type="dxa"/>
            <w:tcBorders>
              <w:top w:val="nil"/>
              <w:left w:val="nil"/>
              <w:bottom w:val="single" w:color="auto" w:sz="4" w:space="0"/>
              <w:right w:val="single" w:color="auto" w:sz="4" w:space="0"/>
            </w:tcBorders>
            <w:shd w:val="clear" w:color="auto" w:fill="auto"/>
            <w:vAlign w:val="center"/>
          </w:tcPr>
          <w:p w14:paraId="520BF9ED">
            <w:pPr>
              <w:widowControl/>
              <w:ind w:firstLine="0" w:firstLineChars="0"/>
              <w:jc w:val="center"/>
              <w:rPr>
                <w:rFonts w:eastAsia="宋体"/>
                <w:color w:val="000000"/>
                <w:kern w:val="0"/>
                <w:sz w:val="24"/>
              </w:rPr>
            </w:pPr>
            <w:r>
              <w:rPr>
                <w:rFonts w:eastAsia="宋体"/>
                <w:color w:val="000000"/>
                <w:kern w:val="0"/>
                <w:sz w:val="24"/>
              </w:rPr>
              <w:t>2.3</w:t>
            </w:r>
          </w:p>
        </w:tc>
      </w:tr>
      <w:tr w14:paraId="3FE5E1EF">
        <w:tblPrEx>
          <w:tblCellMar>
            <w:top w:w="0" w:type="dxa"/>
            <w:left w:w="108" w:type="dxa"/>
            <w:bottom w:w="0" w:type="dxa"/>
            <w:right w:w="108" w:type="dxa"/>
          </w:tblCellMar>
        </w:tblPrEx>
        <w:trPr>
          <w:trHeight w:val="567" w:hRule="atLeast"/>
          <w:jc w:val="center"/>
        </w:trPr>
        <w:tc>
          <w:tcPr>
            <w:tcW w:w="722" w:type="dxa"/>
            <w:tcBorders>
              <w:top w:val="nil"/>
              <w:left w:val="single" w:color="auto" w:sz="4" w:space="0"/>
              <w:bottom w:val="single" w:color="auto" w:sz="4" w:space="0"/>
              <w:right w:val="single" w:color="auto" w:sz="4" w:space="0"/>
            </w:tcBorders>
            <w:shd w:val="clear" w:color="auto" w:fill="auto"/>
            <w:vAlign w:val="center"/>
          </w:tcPr>
          <w:p w14:paraId="52AC6AA5">
            <w:pPr>
              <w:widowControl/>
              <w:ind w:firstLine="0" w:firstLineChars="0"/>
              <w:jc w:val="center"/>
              <w:rPr>
                <w:rFonts w:eastAsia="宋体"/>
                <w:color w:val="000000"/>
                <w:kern w:val="0"/>
                <w:sz w:val="24"/>
              </w:rPr>
            </w:pPr>
            <w:r>
              <w:rPr>
                <w:rFonts w:eastAsia="宋体"/>
                <w:color w:val="000000"/>
                <w:kern w:val="0"/>
                <w:sz w:val="24"/>
              </w:rPr>
              <w:t>7</w:t>
            </w:r>
          </w:p>
        </w:tc>
        <w:tc>
          <w:tcPr>
            <w:tcW w:w="1379" w:type="dxa"/>
            <w:tcBorders>
              <w:top w:val="nil"/>
              <w:left w:val="nil"/>
              <w:bottom w:val="single" w:color="auto" w:sz="4" w:space="0"/>
              <w:right w:val="single" w:color="auto" w:sz="4" w:space="0"/>
            </w:tcBorders>
            <w:shd w:val="clear" w:color="auto" w:fill="auto"/>
            <w:vAlign w:val="center"/>
          </w:tcPr>
          <w:p w14:paraId="40FF043C">
            <w:pPr>
              <w:widowControl/>
              <w:ind w:firstLine="0" w:firstLineChars="0"/>
              <w:jc w:val="center"/>
              <w:rPr>
                <w:rFonts w:ascii="宋体" w:hAnsi="宋体" w:eastAsia="宋体" w:cs="宋体"/>
                <w:color w:val="000000"/>
                <w:kern w:val="0"/>
                <w:sz w:val="24"/>
              </w:rPr>
            </w:pPr>
            <w:r>
              <w:rPr>
                <w:rFonts w:hint="eastAsia" w:ascii="宋体" w:hAnsi="宋体" w:eastAsia="宋体" w:cs="宋体"/>
                <w:color w:val="000000"/>
                <w:kern w:val="0"/>
                <w:sz w:val="24"/>
              </w:rPr>
              <w:t>姜黄制品（姜黄粉）</w:t>
            </w:r>
          </w:p>
        </w:tc>
        <w:tc>
          <w:tcPr>
            <w:tcW w:w="1507" w:type="dxa"/>
            <w:tcBorders>
              <w:top w:val="nil"/>
              <w:left w:val="nil"/>
              <w:bottom w:val="single" w:color="auto" w:sz="4" w:space="0"/>
              <w:right w:val="single" w:color="auto" w:sz="4" w:space="0"/>
            </w:tcBorders>
            <w:shd w:val="clear" w:color="auto" w:fill="auto"/>
            <w:vAlign w:val="center"/>
          </w:tcPr>
          <w:p w14:paraId="379ABC91">
            <w:pPr>
              <w:widowControl/>
              <w:ind w:firstLine="0" w:firstLineChars="0"/>
              <w:jc w:val="center"/>
              <w:rPr>
                <w:rFonts w:eastAsia="宋体"/>
                <w:color w:val="000000"/>
                <w:kern w:val="0"/>
                <w:sz w:val="24"/>
              </w:rPr>
            </w:pPr>
            <w:r>
              <w:rPr>
                <w:rFonts w:eastAsia="宋体"/>
                <w:color w:val="000000"/>
                <w:kern w:val="0"/>
                <w:sz w:val="24"/>
              </w:rPr>
              <w:t>2023050902</w:t>
            </w:r>
          </w:p>
        </w:tc>
        <w:tc>
          <w:tcPr>
            <w:tcW w:w="839" w:type="dxa"/>
            <w:tcBorders>
              <w:top w:val="nil"/>
              <w:left w:val="nil"/>
              <w:bottom w:val="single" w:color="auto" w:sz="4" w:space="0"/>
              <w:right w:val="single" w:color="auto" w:sz="4" w:space="0"/>
            </w:tcBorders>
            <w:shd w:val="clear" w:color="auto" w:fill="auto"/>
            <w:vAlign w:val="center"/>
          </w:tcPr>
          <w:p w14:paraId="1B6570DA">
            <w:pPr>
              <w:widowControl/>
              <w:ind w:firstLine="0" w:firstLineChars="0"/>
              <w:jc w:val="center"/>
              <w:rPr>
                <w:rFonts w:eastAsia="宋体"/>
                <w:color w:val="000000"/>
                <w:kern w:val="0"/>
                <w:sz w:val="24"/>
              </w:rPr>
            </w:pPr>
            <w:r>
              <w:rPr>
                <w:rFonts w:eastAsia="宋体"/>
                <w:color w:val="000000"/>
                <w:kern w:val="0"/>
                <w:sz w:val="24"/>
              </w:rPr>
              <w:t>0.361</w:t>
            </w:r>
          </w:p>
        </w:tc>
        <w:tc>
          <w:tcPr>
            <w:tcW w:w="850" w:type="dxa"/>
            <w:tcBorders>
              <w:top w:val="nil"/>
              <w:left w:val="nil"/>
              <w:bottom w:val="single" w:color="auto" w:sz="4" w:space="0"/>
              <w:right w:val="single" w:color="auto" w:sz="4" w:space="0"/>
            </w:tcBorders>
            <w:shd w:val="clear" w:color="auto" w:fill="auto"/>
            <w:vAlign w:val="center"/>
          </w:tcPr>
          <w:p w14:paraId="2C44AF7F">
            <w:pPr>
              <w:widowControl/>
              <w:ind w:firstLine="0" w:firstLineChars="0"/>
              <w:jc w:val="center"/>
              <w:rPr>
                <w:rFonts w:eastAsia="宋体"/>
                <w:color w:val="000000"/>
                <w:kern w:val="0"/>
                <w:sz w:val="24"/>
              </w:rPr>
            </w:pPr>
            <w:r>
              <w:rPr>
                <w:rFonts w:eastAsia="宋体"/>
                <w:color w:val="000000"/>
                <w:kern w:val="0"/>
                <w:sz w:val="24"/>
              </w:rPr>
              <w:t>0.369</w:t>
            </w:r>
          </w:p>
        </w:tc>
        <w:tc>
          <w:tcPr>
            <w:tcW w:w="811" w:type="dxa"/>
            <w:tcBorders>
              <w:top w:val="nil"/>
              <w:left w:val="nil"/>
              <w:bottom w:val="single" w:color="auto" w:sz="4" w:space="0"/>
              <w:right w:val="single" w:color="auto" w:sz="4" w:space="0"/>
            </w:tcBorders>
            <w:shd w:val="clear" w:color="auto" w:fill="auto"/>
            <w:vAlign w:val="center"/>
          </w:tcPr>
          <w:p w14:paraId="2BA3A3CD">
            <w:pPr>
              <w:widowControl/>
              <w:ind w:firstLine="0" w:firstLineChars="0"/>
              <w:jc w:val="center"/>
              <w:rPr>
                <w:rFonts w:eastAsia="宋体"/>
                <w:color w:val="000000"/>
                <w:kern w:val="0"/>
                <w:sz w:val="24"/>
              </w:rPr>
            </w:pPr>
            <w:r>
              <w:rPr>
                <w:rFonts w:eastAsia="宋体"/>
                <w:color w:val="000000"/>
                <w:kern w:val="0"/>
                <w:sz w:val="24"/>
              </w:rPr>
              <w:t>0.378</w:t>
            </w:r>
          </w:p>
        </w:tc>
        <w:tc>
          <w:tcPr>
            <w:tcW w:w="851" w:type="dxa"/>
            <w:tcBorders>
              <w:top w:val="nil"/>
              <w:left w:val="nil"/>
              <w:bottom w:val="single" w:color="auto" w:sz="4" w:space="0"/>
              <w:right w:val="single" w:color="auto" w:sz="4" w:space="0"/>
            </w:tcBorders>
            <w:shd w:val="clear" w:color="auto" w:fill="auto"/>
            <w:vAlign w:val="center"/>
          </w:tcPr>
          <w:p w14:paraId="03FF175B">
            <w:pPr>
              <w:widowControl/>
              <w:ind w:firstLine="0" w:firstLineChars="0"/>
              <w:jc w:val="center"/>
              <w:rPr>
                <w:rFonts w:eastAsia="宋体"/>
                <w:color w:val="000000"/>
                <w:kern w:val="0"/>
                <w:sz w:val="24"/>
              </w:rPr>
            </w:pPr>
            <w:r>
              <w:rPr>
                <w:rFonts w:eastAsia="宋体"/>
                <w:color w:val="000000"/>
                <w:kern w:val="0"/>
                <w:sz w:val="24"/>
              </w:rPr>
              <w:t>0.369</w:t>
            </w:r>
          </w:p>
        </w:tc>
        <w:tc>
          <w:tcPr>
            <w:tcW w:w="890" w:type="dxa"/>
            <w:tcBorders>
              <w:top w:val="nil"/>
              <w:left w:val="nil"/>
              <w:bottom w:val="single" w:color="auto" w:sz="4" w:space="0"/>
              <w:right w:val="single" w:color="auto" w:sz="4" w:space="0"/>
            </w:tcBorders>
            <w:shd w:val="clear" w:color="auto" w:fill="auto"/>
            <w:vAlign w:val="center"/>
          </w:tcPr>
          <w:p w14:paraId="030A7342">
            <w:pPr>
              <w:widowControl/>
              <w:ind w:firstLine="0" w:firstLineChars="0"/>
              <w:jc w:val="center"/>
              <w:rPr>
                <w:rFonts w:eastAsia="宋体"/>
                <w:color w:val="000000"/>
                <w:kern w:val="0"/>
                <w:sz w:val="24"/>
              </w:rPr>
            </w:pPr>
            <w:r>
              <w:rPr>
                <w:rFonts w:eastAsia="宋体"/>
                <w:color w:val="000000"/>
                <w:kern w:val="0"/>
                <w:sz w:val="24"/>
              </w:rPr>
              <w:t>0.369</w:t>
            </w:r>
          </w:p>
        </w:tc>
        <w:tc>
          <w:tcPr>
            <w:tcW w:w="850" w:type="dxa"/>
            <w:tcBorders>
              <w:top w:val="nil"/>
              <w:left w:val="nil"/>
              <w:bottom w:val="single" w:color="auto" w:sz="4" w:space="0"/>
              <w:right w:val="single" w:color="auto" w:sz="4" w:space="0"/>
            </w:tcBorders>
            <w:shd w:val="clear" w:color="auto" w:fill="auto"/>
            <w:vAlign w:val="center"/>
          </w:tcPr>
          <w:p w14:paraId="09024412">
            <w:pPr>
              <w:widowControl/>
              <w:ind w:firstLine="0" w:firstLineChars="0"/>
              <w:jc w:val="center"/>
              <w:rPr>
                <w:rFonts w:eastAsia="宋体"/>
                <w:color w:val="000000"/>
                <w:kern w:val="0"/>
                <w:sz w:val="24"/>
              </w:rPr>
            </w:pPr>
            <w:r>
              <w:rPr>
                <w:rFonts w:eastAsia="宋体"/>
                <w:color w:val="000000"/>
                <w:kern w:val="0"/>
                <w:sz w:val="24"/>
              </w:rPr>
              <w:t>1.9</w:t>
            </w:r>
          </w:p>
        </w:tc>
      </w:tr>
      <w:tr w14:paraId="5ECF04E7">
        <w:tblPrEx>
          <w:tblCellMar>
            <w:top w:w="0" w:type="dxa"/>
            <w:left w:w="108" w:type="dxa"/>
            <w:bottom w:w="0" w:type="dxa"/>
            <w:right w:w="108" w:type="dxa"/>
          </w:tblCellMar>
        </w:tblPrEx>
        <w:trPr>
          <w:trHeight w:val="567" w:hRule="atLeast"/>
          <w:jc w:val="center"/>
        </w:trPr>
        <w:tc>
          <w:tcPr>
            <w:tcW w:w="722" w:type="dxa"/>
            <w:tcBorders>
              <w:top w:val="nil"/>
              <w:left w:val="single" w:color="auto" w:sz="4" w:space="0"/>
              <w:bottom w:val="single" w:color="auto" w:sz="4" w:space="0"/>
              <w:right w:val="single" w:color="auto" w:sz="4" w:space="0"/>
            </w:tcBorders>
            <w:shd w:val="clear" w:color="auto" w:fill="auto"/>
            <w:vAlign w:val="center"/>
          </w:tcPr>
          <w:p w14:paraId="41373ECF">
            <w:pPr>
              <w:widowControl/>
              <w:ind w:firstLine="0" w:firstLineChars="0"/>
              <w:jc w:val="center"/>
              <w:rPr>
                <w:rFonts w:eastAsia="宋体"/>
                <w:color w:val="000000"/>
                <w:kern w:val="0"/>
                <w:sz w:val="24"/>
              </w:rPr>
            </w:pPr>
            <w:r>
              <w:rPr>
                <w:rFonts w:eastAsia="宋体"/>
                <w:color w:val="000000"/>
                <w:kern w:val="0"/>
                <w:sz w:val="24"/>
              </w:rPr>
              <w:t>8</w:t>
            </w:r>
          </w:p>
        </w:tc>
        <w:tc>
          <w:tcPr>
            <w:tcW w:w="1379" w:type="dxa"/>
            <w:tcBorders>
              <w:top w:val="nil"/>
              <w:left w:val="nil"/>
              <w:bottom w:val="single" w:color="auto" w:sz="4" w:space="0"/>
              <w:right w:val="single" w:color="auto" w:sz="4" w:space="0"/>
            </w:tcBorders>
            <w:shd w:val="clear" w:color="auto" w:fill="auto"/>
            <w:vAlign w:val="center"/>
          </w:tcPr>
          <w:p w14:paraId="3D08D3D7">
            <w:pPr>
              <w:widowControl/>
              <w:ind w:firstLine="0" w:firstLineChars="0"/>
              <w:jc w:val="center"/>
              <w:rPr>
                <w:rFonts w:ascii="宋体" w:hAnsi="宋体" w:eastAsia="宋体" w:cs="宋体"/>
                <w:color w:val="000000"/>
                <w:kern w:val="0"/>
                <w:sz w:val="24"/>
              </w:rPr>
            </w:pPr>
            <w:r>
              <w:rPr>
                <w:rFonts w:hint="eastAsia" w:ascii="宋体" w:hAnsi="宋体" w:eastAsia="宋体" w:cs="宋体"/>
                <w:color w:val="000000"/>
                <w:kern w:val="0"/>
                <w:sz w:val="24"/>
              </w:rPr>
              <w:t>姜黄制品（姜黄粉）</w:t>
            </w:r>
          </w:p>
        </w:tc>
        <w:tc>
          <w:tcPr>
            <w:tcW w:w="1507" w:type="dxa"/>
            <w:tcBorders>
              <w:top w:val="nil"/>
              <w:left w:val="nil"/>
              <w:bottom w:val="single" w:color="auto" w:sz="4" w:space="0"/>
              <w:right w:val="single" w:color="auto" w:sz="4" w:space="0"/>
            </w:tcBorders>
            <w:shd w:val="clear" w:color="auto" w:fill="auto"/>
            <w:vAlign w:val="center"/>
          </w:tcPr>
          <w:p w14:paraId="0083290F">
            <w:pPr>
              <w:widowControl/>
              <w:ind w:firstLine="0" w:firstLineChars="0"/>
              <w:jc w:val="center"/>
              <w:rPr>
                <w:rFonts w:eastAsia="宋体"/>
                <w:color w:val="000000"/>
                <w:kern w:val="0"/>
                <w:sz w:val="24"/>
              </w:rPr>
            </w:pPr>
            <w:r>
              <w:rPr>
                <w:rFonts w:eastAsia="宋体"/>
                <w:color w:val="000000"/>
                <w:kern w:val="0"/>
                <w:sz w:val="24"/>
              </w:rPr>
              <w:t>2024071701</w:t>
            </w:r>
          </w:p>
        </w:tc>
        <w:tc>
          <w:tcPr>
            <w:tcW w:w="839" w:type="dxa"/>
            <w:tcBorders>
              <w:top w:val="nil"/>
              <w:left w:val="nil"/>
              <w:bottom w:val="single" w:color="auto" w:sz="4" w:space="0"/>
              <w:right w:val="single" w:color="auto" w:sz="4" w:space="0"/>
            </w:tcBorders>
            <w:shd w:val="clear" w:color="auto" w:fill="auto"/>
            <w:vAlign w:val="center"/>
          </w:tcPr>
          <w:p w14:paraId="796A8A2A">
            <w:pPr>
              <w:widowControl/>
              <w:ind w:firstLine="0" w:firstLineChars="0"/>
              <w:jc w:val="center"/>
              <w:rPr>
                <w:rFonts w:eastAsia="宋体"/>
                <w:color w:val="000000"/>
                <w:kern w:val="0"/>
                <w:sz w:val="24"/>
              </w:rPr>
            </w:pPr>
            <w:r>
              <w:rPr>
                <w:rFonts w:eastAsia="宋体"/>
                <w:color w:val="000000"/>
                <w:kern w:val="0"/>
                <w:sz w:val="24"/>
              </w:rPr>
              <w:t>0.952</w:t>
            </w:r>
          </w:p>
        </w:tc>
        <w:tc>
          <w:tcPr>
            <w:tcW w:w="850" w:type="dxa"/>
            <w:tcBorders>
              <w:top w:val="nil"/>
              <w:left w:val="nil"/>
              <w:bottom w:val="single" w:color="auto" w:sz="4" w:space="0"/>
              <w:right w:val="single" w:color="auto" w:sz="4" w:space="0"/>
            </w:tcBorders>
            <w:shd w:val="clear" w:color="auto" w:fill="auto"/>
            <w:vAlign w:val="center"/>
          </w:tcPr>
          <w:p w14:paraId="33F58CFB">
            <w:pPr>
              <w:widowControl/>
              <w:ind w:firstLine="0" w:firstLineChars="0"/>
              <w:jc w:val="center"/>
              <w:rPr>
                <w:rFonts w:eastAsia="宋体"/>
                <w:color w:val="000000"/>
                <w:kern w:val="0"/>
                <w:sz w:val="24"/>
              </w:rPr>
            </w:pPr>
            <w:r>
              <w:rPr>
                <w:rFonts w:eastAsia="宋体"/>
                <w:color w:val="000000"/>
                <w:kern w:val="0"/>
                <w:sz w:val="24"/>
              </w:rPr>
              <w:t>0.986</w:t>
            </w:r>
          </w:p>
        </w:tc>
        <w:tc>
          <w:tcPr>
            <w:tcW w:w="811" w:type="dxa"/>
            <w:tcBorders>
              <w:top w:val="nil"/>
              <w:left w:val="nil"/>
              <w:bottom w:val="single" w:color="auto" w:sz="4" w:space="0"/>
              <w:right w:val="single" w:color="auto" w:sz="4" w:space="0"/>
            </w:tcBorders>
            <w:shd w:val="clear" w:color="auto" w:fill="auto"/>
            <w:vAlign w:val="center"/>
          </w:tcPr>
          <w:p w14:paraId="4DD05260">
            <w:pPr>
              <w:widowControl/>
              <w:ind w:firstLine="0" w:firstLineChars="0"/>
              <w:jc w:val="center"/>
              <w:rPr>
                <w:rFonts w:eastAsia="宋体"/>
                <w:color w:val="000000"/>
                <w:kern w:val="0"/>
                <w:sz w:val="24"/>
              </w:rPr>
            </w:pPr>
            <w:r>
              <w:rPr>
                <w:rFonts w:eastAsia="宋体"/>
                <w:color w:val="000000"/>
                <w:kern w:val="0"/>
                <w:sz w:val="24"/>
              </w:rPr>
              <w:t>0.963</w:t>
            </w:r>
          </w:p>
        </w:tc>
        <w:tc>
          <w:tcPr>
            <w:tcW w:w="851" w:type="dxa"/>
            <w:tcBorders>
              <w:top w:val="nil"/>
              <w:left w:val="nil"/>
              <w:bottom w:val="single" w:color="auto" w:sz="4" w:space="0"/>
              <w:right w:val="single" w:color="auto" w:sz="4" w:space="0"/>
            </w:tcBorders>
            <w:shd w:val="clear" w:color="auto" w:fill="auto"/>
            <w:vAlign w:val="center"/>
          </w:tcPr>
          <w:p w14:paraId="1E3777A6">
            <w:pPr>
              <w:widowControl/>
              <w:ind w:firstLine="0" w:firstLineChars="0"/>
              <w:jc w:val="center"/>
              <w:rPr>
                <w:rFonts w:eastAsia="宋体"/>
                <w:color w:val="000000"/>
                <w:kern w:val="0"/>
                <w:sz w:val="24"/>
              </w:rPr>
            </w:pPr>
            <w:r>
              <w:rPr>
                <w:rFonts w:eastAsia="宋体"/>
                <w:color w:val="000000"/>
                <w:kern w:val="0"/>
                <w:sz w:val="24"/>
              </w:rPr>
              <w:t>0.963</w:t>
            </w:r>
          </w:p>
        </w:tc>
        <w:tc>
          <w:tcPr>
            <w:tcW w:w="890" w:type="dxa"/>
            <w:tcBorders>
              <w:top w:val="nil"/>
              <w:left w:val="nil"/>
              <w:bottom w:val="single" w:color="auto" w:sz="4" w:space="0"/>
              <w:right w:val="single" w:color="auto" w:sz="4" w:space="0"/>
            </w:tcBorders>
            <w:shd w:val="clear" w:color="auto" w:fill="auto"/>
            <w:vAlign w:val="center"/>
          </w:tcPr>
          <w:p w14:paraId="14DE0A41">
            <w:pPr>
              <w:widowControl/>
              <w:ind w:firstLine="0" w:firstLineChars="0"/>
              <w:jc w:val="center"/>
              <w:rPr>
                <w:rFonts w:eastAsia="宋体"/>
                <w:color w:val="000000"/>
                <w:kern w:val="0"/>
                <w:sz w:val="24"/>
              </w:rPr>
            </w:pPr>
            <w:r>
              <w:rPr>
                <w:rFonts w:eastAsia="宋体"/>
                <w:color w:val="000000"/>
                <w:kern w:val="0"/>
                <w:sz w:val="24"/>
              </w:rPr>
              <w:t>0.966</w:t>
            </w:r>
          </w:p>
        </w:tc>
        <w:tc>
          <w:tcPr>
            <w:tcW w:w="850" w:type="dxa"/>
            <w:tcBorders>
              <w:top w:val="nil"/>
              <w:left w:val="nil"/>
              <w:bottom w:val="single" w:color="auto" w:sz="4" w:space="0"/>
              <w:right w:val="single" w:color="auto" w:sz="4" w:space="0"/>
            </w:tcBorders>
            <w:shd w:val="clear" w:color="auto" w:fill="auto"/>
            <w:vAlign w:val="center"/>
          </w:tcPr>
          <w:p w14:paraId="1BCAFB52">
            <w:pPr>
              <w:widowControl/>
              <w:ind w:firstLine="0" w:firstLineChars="0"/>
              <w:jc w:val="center"/>
              <w:rPr>
                <w:rFonts w:eastAsia="宋体"/>
                <w:color w:val="000000"/>
                <w:kern w:val="0"/>
                <w:sz w:val="24"/>
              </w:rPr>
            </w:pPr>
            <w:r>
              <w:rPr>
                <w:rFonts w:eastAsia="宋体"/>
                <w:color w:val="000000"/>
                <w:kern w:val="0"/>
                <w:sz w:val="24"/>
              </w:rPr>
              <w:t>1.5</w:t>
            </w:r>
          </w:p>
        </w:tc>
      </w:tr>
      <w:tr w14:paraId="0E849EF3">
        <w:tblPrEx>
          <w:tblCellMar>
            <w:top w:w="0" w:type="dxa"/>
            <w:left w:w="108" w:type="dxa"/>
            <w:bottom w:w="0" w:type="dxa"/>
            <w:right w:w="108" w:type="dxa"/>
          </w:tblCellMar>
        </w:tblPrEx>
        <w:trPr>
          <w:trHeight w:val="567" w:hRule="atLeast"/>
          <w:jc w:val="center"/>
        </w:trPr>
        <w:tc>
          <w:tcPr>
            <w:tcW w:w="722" w:type="dxa"/>
            <w:tcBorders>
              <w:top w:val="nil"/>
              <w:left w:val="single" w:color="auto" w:sz="4" w:space="0"/>
              <w:bottom w:val="single" w:color="auto" w:sz="4" w:space="0"/>
              <w:right w:val="single" w:color="auto" w:sz="4" w:space="0"/>
            </w:tcBorders>
            <w:shd w:val="clear" w:color="auto" w:fill="auto"/>
            <w:vAlign w:val="center"/>
          </w:tcPr>
          <w:p w14:paraId="0F32B585">
            <w:pPr>
              <w:widowControl/>
              <w:ind w:firstLine="0" w:firstLineChars="0"/>
              <w:jc w:val="center"/>
              <w:rPr>
                <w:rFonts w:eastAsia="宋体"/>
                <w:color w:val="000000"/>
                <w:kern w:val="0"/>
                <w:sz w:val="24"/>
              </w:rPr>
            </w:pPr>
            <w:r>
              <w:rPr>
                <w:rFonts w:eastAsia="宋体"/>
                <w:color w:val="000000"/>
                <w:kern w:val="0"/>
                <w:sz w:val="24"/>
              </w:rPr>
              <w:t>9</w:t>
            </w:r>
          </w:p>
        </w:tc>
        <w:tc>
          <w:tcPr>
            <w:tcW w:w="1379" w:type="dxa"/>
            <w:tcBorders>
              <w:top w:val="nil"/>
              <w:left w:val="nil"/>
              <w:bottom w:val="single" w:color="auto" w:sz="4" w:space="0"/>
              <w:right w:val="single" w:color="auto" w:sz="4" w:space="0"/>
            </w:tcBorders>
            <w:shd w:val="clear" w:color="auto" w:fill="auto"/>
            <w:vAlign w:val="center"/>
          </w:tcPr>
          <w:p w14:paraId="350F5429">
            <w:pPr>
              <w:widowControl/>
              <w:ind w:firstLine="0" w:firstLineChars="0"/>
              <w:jc w:val="center"/>
              <w:rPr>
                <w:rFonts w:ascii="宋体" w:hAnsi="宋体" w:eastAsia="宋体" w:cs="宋体"/>
                <w:color w:val="000000"/>
                <w:kern w:val="0"/>
                <w:sz w:val="24"/>
              </w:rPr>
            </w:pPr>
            <w:r>
              <w:rPr>
                <w:rFonts w:hint="eastAsia" w:ascii="宋体" w:hAnsi="宋体" w:eastAsia="宋体" w:cs="宋体"/>
                <w:color w:val="000000"/>
                <w:kern w:val="0"/>
                <w:sz w:val="24"/>
              </w:rPr>
              <w:t>姜黄制品（姜黄粉）</w:t>
            </w:r>
          </w:p>
        </w:tc>
        <w:tc>
          <w:tcPr>
            <w:tcW w:w="1507" w:type="dxa"/>
            <w:tcBorders>
              <w:top w:val="nil"/>
              <w:left w:val="nil"/>
              <w:bottom w:val="single" w:color="auto" w:sz="4" w:space="0"/>
              <w:right w:val="single" w:color="auto" w:sz="4" w:space="0"/>
            </w:tcBorders>
            <w:shd w:val="clear" w:color="auto" w:fill="auto"/>
            <w:vAlign w:val="center"/>
          </w:tcPr>
          <w:p w14:paraId="56D47E88">
            <w:pPr>
              <w:widowControl/>
              <w:ind w:firstLine="0" w:firstLineChars="0"/>
              <w:jc w:val="center"/>
              <w:rPr>
                <w:rFonts w:eastAsia="宋体"/>
                <w:color w:val="000000"/>
                <w:kern w:val="0"/>
                <w:sz w:val="24"/>
              </w:rPr>
            </w:pPr>
            <w:r>
              <w:rPr>
                <w:rFonts w:eastAsia="宋体"/>
                <w:color w:val="000000"/>
                <w:kern w:val="0"/>
                <w:sz w:val="24"/>
              </w:rPr>
              <w:t>BXH20230801-04</w:t>
            </w:r>
          </w:p>
        </w:tc>
        <w:tc>
          <w:tcPr>
            <w:tcW w:w="839" w:type="dxa"/>
            <w:tcBorders>
              <w:top w:val="nil"/>
              <w:left w:val="nil"/>
              <w:bottom w:val="single" w:color="auto" w:sz="4" w:space="0"/>
              <w:right w:val="single" w:color="auto" w:sz="4" w:space="0"/>
            </w:tcBorders>
            <w:shd w:val="clear" w:color="auto" w:fill="auto"/>
            <w:vAlign w:val="center"/>
          </w:tcPr>
          <w:p w14:paraId="75D7911E">
            <w:pPr>
              <w:widowControl/>
              <w:ind w:firstLine="0" w:firstLineChars="0"/>
              <w:jc w:val="center"/>
              <w:rPr>
                <w:rFonts w:eastAsia="宋体"/>
                <w:color w:val="000000"/>
                <w:kern w:val="0"/>
                <w:sz w:val="24"/>
              </w:rPr>
            </w:pPr>
            <w:r>
              <w:rPr>
                <w:rFonts w:eastAsia="宋体"/>
                <w:color w:val="000000"/>
                <w:kern w:val="0"/>
                <w:sz w:val="24"/>
              </w:rPr>
              <w:t>0.695</w:t>
            </w:r>
          </w:p>
        </w:tc>
        <w:tc>
          <w:tcPr>
            <w:tcW w:w="850" w:type="dxa"/>
            <w:tcBorders>
              <w:top w:val="nil"/>
              <w:left w:val="nil"/>
              <w:bottom w:val="single" w:color="auto" w:sz="4" w:space="0"/>
              <w:right w:val="single" w:color="auto" w:sz="4" w:space="0"/>
            </w:tcBorders>
            <w:shd w:val="clear" w:color="auto" w:fill="auto"/>
            <w:vAlign w:val="center"/>
          </w:tcPr>
          <w:p w14:paraId="47CAEAA5">
            <w:pPr>
              <w:widowControl/>
              <w:ind w:firstLine="0" w:firstLineChars="0"/>
              <w:jc w:val="center"/>
              <w:rPr>
                <w:rFonts w:eastAsia="宋体"/>
                <w:color w:val="000000"/>
                <w:kern w:val="0"/>
                <w:sz w:val="24"/>
              </w:rPr>
            </w:pPr>
            <w:r>
              <w:rPr>
                <w:rFonts w:eastAsia="宋体"/>
                <w:color w:val="000000"/>
                <w:kern w:val="0"/>
                <w:sz w:val="24"/>
              </w:rPr>
              <w:t>0.741</w:t>
            </w:r>
          </w:p>
        </w:tc>
        <w:tc>
          <w:tcPr>
            <w:tcW w:w="811" w:type="dxa"/>
            <w:tcBorders>
              <w:top w:val="nil"/>
              <w:left w:val="nil"/>
              <w:bottom w:val="single" w:color="auto" w:sz="4" w:space="0"/>
              <w:right w:val="single" w:color="auto" w:sz="4" w:space="0"/>
            </w:tcBorders>
            <w:shd w:val="clear" w:color="auto" w:fill="auto"/>
            <w:vAlign w:val="center"/>
          </w:tcPr>
          <w:p w14:paraId="079ABB59">
            <w:pPr>
              <w:widowControl/>
              <w:ind w:firstLine="0" w:firstLineChars="0"/>
              <w:jc w:val="center"/>
              <w:rPr>
                <w:rFonts w:eastAsia="宋体"/>
                <w:color w:val="000000"/>
                <w:kern w:val="0"/>
                <w:sz w:val="24"/>
              </w:rPr>
            </w:pPr>
            <w:r>
              <w:rPr>
                <w:rFonts w:eastAsia="宋体"/>
                <w:color w:val="000000"/>
                <w:kern w:val="0"/>
                <w:sz w:val="24"/>
              </w:rPr>
              <w:t>0.726</w:t>
            </w:r>
          </w:p>
        </w:tc>
        <w:tc>
          <w:tcPr>
            <w:tcW w:w="851" w:type="dxa"/>
            <w:tcBorders>
              <w:top w:val="nil"/>
              <w:left w:val="nil"/>
              <w:bottom w:val="single" w:color="auto" w:sz="4" w:space="0"/>
              <w:right w:val="single" w:color="auto" w:sz="4" w:space="0"/>
            </w:tcBorders>
            <w:shd w:val="clear" w:color="auto" w:fill="auto"/>
            <w:vAlign w:val="center"/>
          </w:tcPr>
          <w:p w14:paraId="348E70F5">
            <w:pPr>
              <w:widowControl/>
              <w:ind w:firstLine="0" w:firstLineChars="0"/>
              <w:jc w:val="center"/>
              <w:rPr>
                <w:rFonts w:eastAsia="宋体"/>
                <w:color w:val="000000"/>
                <w:kern w:val="0"/>
                <w:sz w:val="24"/>
              </w:rPr>
            </w:pPr>
            <w:r>
              <w:rPr>
                <w:rFonts w:eastAsia="宋体"/>
                <w:color w:val="000000"/>
                <w:kern w:val="0"/>
                <w:sz w:val="24"/>
              </w:rPr>
              <w:t>0.711</w:t>
            </w:r>
          </w:p>
        </w:tc>
        <w:tc>
          <w:tcPr>
            <w:tcW w:w="890" w:type="dxa"/>
            <w:tcBorders>
              <w:top w:val="nil"/>
              <w:left w:val="nil"/>
              <w:bottom w:val="single" w:color="auto" w:sz="4" w:space="0"/>
              <w:right w:val="single" w:color="auto" w:sz="4" w:space="0"/>
            </w:tcBorders>
            <w:shd w:val="clear" w:color="auto" w:fill="auto"/>
            <w:vAlign w:val="center"/>
          </w:tcPr>
          <w:p w14:paraId="397E9C76">
            <w:pPr>
              <w:widowControl/>
              <w:ind w:firstLine="0" w:firstLineChars="0"/>
              <w:jc w:val="center"/>
              <w:rPr>
                <w:rFonts w:eastAsia="宋体"/>
                <w:color w:val="000000"/>
                <w:kern w:val="0"/>
                <w:sz w:val="24"/>
              </w:rPr>
            </w:pPr>
            <w:r>
              <w:rPr>
                <w:rFonts w:eastAsia="宋体"/>
                <w:color w:val="000000"/>
                <w:kern w:val="0"/>
                <w:sz w:val="24"/>
              </w:rPr>
              <w:t>0.718</w:t>
            </w:r>
          </w:p>
        </w:tc>
        <w:tc>
          <w:tcPr>
            <w:tcW w:w="850" w:type="dxa"/>
            <w:tcBorders>
              <w:top w:val="nil"/>
              <w:left w:val="nil"/>
              <w:bottom w:val="single" w:color="auto" w:sz="4" w:space="0"/>
              <w:right w:val="single" w:color="auto" w:sz="4" w:space="0"/>
            </w:tcBorders>
            <w:shd w:val="clear" w:color="auto" w:fill="auto"/>
            <w:vAlign w:val="center"/>
          </w:tcPr>
          <w:p w14:paraId="379E9151">
            <w:pPr>
              <w:widowControl/>
              <w:ind w:firstLine="0" w:firstLineChars="0"/>
              <w:jc w:val="center"/>
              <w:rPr>
                <w:rFonts w:eastAsia="宋体"/>
                <w:color w:val="000000"/>
                <w:kern w:val="0"/>
                <w:sz w:val="24"/>
              </w:rPr>
            </w:pPr>
            <w:r>
              <w:rPr>
                <w:rFonts w:eastAsia="宋体"/>
                <w:color w:val="000000"/>
                <w:kern w:val="0"/>
                <w:sz w:val="24"/>
              </w:rPr>
              <w:t>2.8</w:t>
            </w:r>
          </w:p>
        </w:tc>
      </w:tr>
      <w:tr w14:paraId="4DDE5C29">
        <w:tblPrEx>
          <w:tblCellMar>
            <w:top w:w="0" w:type="dxa"/>
            <w:left w:w="108" w:type="dxa"/>
            <w:bottom w:w="0" w:type="dxa"/>
            <w:right w:w="108" w:type="dxa"/>
          </w:tblCellMar>
        </w:tblPrEx>
        <w:trPr>
          <w:trHeight w:val="567" w:hRule="atLeast"/>
          <w:jc w:val="center"/>
        </w:trPr>
        <w:tc>
          <w:tcPr>
            <w:tcW w:w="722" w:type="dxa"/>
            <w:tcBorders>
              <w:top w:val="nil"/>
              <w:left w:val="single" w:color="auto" w:sz="4" w:space="0"/>
              <w:bottom w:val="single" w:color="auto" w:sz="4" w:space="0"/>
              <w:right w:val="single" w:color="auto" w:sz="4" w:space="0"/>
            </w:tcBorders>
            <w:shd w:val="clear" w:color="auto" w:fill="auto"/>
            <w:vAlign w:val="center"/>
          </w:tcPr>
          <w:p w14:paraId="3C3DF61F">
            <w:pPr>
              <w:widowControl/>
              <w:ind w:firstLine="0" w:firstLineChars="0"/>
              <w:jc w:val="center"/>
              <w:rPr>
                <w:rFonts w:eastAsia="宋体"/>
                <w:color w:val="000000"/>
                <w:kern w:val="0"/>
                <w:sz w:val="24"/>
              </w:rPr>
            </w:pPr>
            <w:r>
              <w:rPr>
                <w:rFonts w:eastAsia="宋体"/>
                <w:color w:val="000000"/>
                <w:kern w:val="0"/>
                <w:sz w:val="24"/>
              </w:rPr>
              <w:t>10</w:t>
            </w:r>
          </w:p>
        </w:tc>
        <w:tc>
          <w:tcPr>
            <w:tcW w:w="1379" w:type="dxa"/>
            <w:tcBorders>
              <w:top w:val="nil"/>
              <w:left w:val="nil"/>
              <w:bottom w:val="single" w:color="auto" w:sz="4" w:space="0"/>
              <w:right w:val="single" w:color="auto" w:sz="4" w:space="0"/>
            </w:tcBorders>
            <w:shd w:val="clear" w:color="auto" w:fill="auto"/>
            <w:vAlign w:val="center"/>
          </w:tcPr>
          <w:p w14:paraId="05CD81B5">
            <w:pPr>
              <w:widowControl/>
              <w:ind w:firstLine="0" w:firstLineChars="0"/>
              <w:jc w:val="center"/>
              <w:rPr>
                <w:rFonts w:ascii="宋体" w:hAnsi="宋体" w:eastAsia="宋体" w:cs="宋体"/>
                <w:color w:val="000000"/>
                <w:kern w:val="0"/>
                <w:sz w:val="24"/>
              </w:rPr>
            </w:pPr>
            <w:r>
              <w:rPr>
                <w:rFonts w:hint="eastAsia" w:ascii="宋体" w:hAnsi="宋体" w:eastAsia="宋体" w:cs="宋体"/>
                <w:color w:val="000000"/>
                <w:kern w:val="0"/>
                <w:sz w:val="24"/>
              </w:rPr>
              <w:t>姜黄制品（咖喱粉）</w:t>
            </w:r>
          </w:p>
        </w:tc>
        <w:tc>
          <w:tcPr>
            <w:tcW w:w="1507" w:type="dxa"/>
            <w:tcBorders>
              <w:top w:val="nil"/>
              <w:left w:val="nil"/>
              <w:bottom w:val="single" w:color="auto" w:sz="4" w:space="0"/>
              <w:right w:val="single" w:color="auto" w:sz="4" w:space="0"/>
            </w:tcBorders>
            <w:shd w:val="clear" w:color="auto" w:fill="auto"/>
            <w:vAlign w:val="center"/>
          </w:tcPr>
          <w:p w14:paraId="4FA55AFD">
            <w:pPr>
              <w:widowControl/>
              <w:ind w:firstLine="0" w:firstLineChars="0"/>
              <w:jc w:val="center"/>
              <w:rPr>
                <w:rFonts w:eastAsia="宋体"/>
                <w:color w:val="000000"/>
                <w:kern w:val="0"/>
                <w:sz w:val="24"/>
              </w:rPr>
            </w:pPr>
            <w:r>
              <w:rPr>
                <w:rFonts w:eastAsia="宋体"/>
                <w:color w:val="000000"/>
                <w:kern w:val="0"/>
                <w:sz w:val="24"/>
              </w:rPr>
              <w:t>20240621005</w:t>
            </w:r>
          </w:p>
        </w:tc>
        <w:tc>
          <w:tcPr>
            <w:tcW w:w="839" w:type="dxa"/>
            <w:tcBorders>
              <w:top w:val="nil"/>
              <w:left w:val="nil"/>
              <w:bottom w:val="single" w:color="auto" w:sz="4" w:space="0"/>
              <w:right w:val="single" w:color="auto" w:sz="4" w:space="0"/>
            </w:tcBorders>
            <w:shd w:val="clear" w:color="auto" w:fill="auto"/>
            <w:vAlign w:val="center"/>
          </w:tcPr>
          <w:p w14:paraId="1AFA6162">
            <w:pPr>
              <w:widowControl/>
              <w:ind w:firstLine="0" w:firstLineChars="0"/>
              <w:jc w:val="center"/>
              <w:rPr>
                <w:rFonts w:eastAsia="宋体"/>
                <w:color w:val="000000"/>
                <w:kern w:val="0"/>
                <w:sz w:val="24"/>
              </w:rPr>
            </w:pPr>
            <w:r>
              <w:rPr>
                <w:rFonts w:eastAsia="宋体"/>
                <w:color w:val="000000"/>
                <w:kern w:val="0"/>
                <w:sz w:val="24"/>
              </w:rPr>
              <w:t>0.597</w:t>
            </w:r>
          </w:p>
        </w:tc>
        <w:tc>
          <w:tcPr>
            <w:tcW w:w="850" w:type="dxa"/>
            <w:tcBorders>
              <w:top w:val="nil"/>
              <w:left w:val="nil"/>
              <w:bottom w:val="single" w:color="auto" w:sz="4" w:space="0"/>
              <w:right w:val="single" w:color="auto" w:sz="4" w:space="0"/>
            </w:tcBorders>
            <w:shd w:val="clear" w:color="auto" w:fill="auto"/>
            <w:vAlign w:val="center"/>
          </w:tcPr>
          <w:p w14:paraId="21F5CFC4">
            <w:pPr>
              <w:widowControl/>
              <w:ind w:firstLine="0" w:firstLineChars="0"/>
              <w:jc w:val="center"/>
              <w:rPr>
                <w:rFonts w:eastAsia="宋体"/>
                <w:color w:val="000000"/>
                <w:kern w:val="0"/>
                <w:sz w:val="24"/>
              </w:rPr>
            </w:pPr>
            <w:r>
              <w:rPr>
                <w:rFonts w:eastAsia="宋体"/>
                <w:color w:val="000000"/>
                <w:kern w:val="0"/>
                <w:sz w:val="24"/>
              </w:rPr>
              <w:t>0.6</w:t>
            </w:r>
            <w:r>
              <w:rPr>
                <w:rFonts w:hint="eastAsia" w:eastAsia="宋体"/>
                <w:color w:val="000000"/>
                <w:kern w:val="0"/>
                <w:sz w:val="24"/>
              </w:rPr>
              <w:t>00</w:t>
            </w:r>
          </w:p>
        </w:tc>
        <w:tc>
          <w:tcPr>
            <w:tcW w:w="811" w:type="dxa"/>
            <w:tcBorders>
              <w:top w:val="nil"/>
              <w:left w:val="nil"/>
              <w:bottom w:val="single" w:color="auto" w:sz="4" w:space="0"/>
              <w:right w:val="single" w:color="auto" w:sz="4" w:space="0"/>
            </w:tcBorders>
            <w:shd w:val="clear" w:color="auto" w:fill="auto"/>
            <w:vAlign w:val="center"/>
          </w:tcPr>
          <w:p w14:paraId="7C059197">
            <w:pPr>
              <w:widowControl/>
              <w:ind w:firstLine="0" w:firstLineChars="0"/>
              <w:jc w:val="center"/>
              <w:rPr>
                <w:rFonts w:eastAsia="宋体"/>
                <w:color w:val="000000"/>
                <w:kern w:val="0"/>
                <w:sz w:val="24"/>
              </w:rPr>
            </w:pPr>
            <w:r>
              <w:rPr>
                <w:rFonts w:eastAsia="宋体"/>
                <w:color w:val="000000"/>
                <w:kern w:val="0"/>
                <w:sz w:val="24"/>
              </w:rPr>
              <w:t>0.561</w:t>
            </w:r>
          </w:p>
        </w:tc>
        <w:tc>
          <w:tcPr>
            <w:tcW w:w="851" w:type="dxa"/>
            <w:tcBorders>
              <w:top w:val="nil"/>
              <w:left w:val="nil"/>
              <w:bottom w:val="single" w:color="auto" w:sz="4" w:space="0"/>
              <w:right w:val="single" w:color="auto" w:sz="4" w:space="0"/>
            </w:tcBorders>
            <w:shd w:val="clear" w:color="auto" w:fill="auto"/>
            <w:vAlign w:val="center"/>
          </w:tcPr>
          <w:p w14:paraId="13F98987">
            <w:pPr>
              <w:widowControl/>
              <w:ind w:firstLine="0" w:firstLineChars="0"/>
              <w:jc w:val="center"/>
              <w:rPr>
                <w:rFonts w:eastAsia="宋体"/>
                <w:color w:val="000000"/>
                <w:kern w:val="0"/>
                <w:sz w:val="24"/>
              </w:rPr>
            </w:pPr>
            <w:r>
              <w:rPr>
                <w:rFonts w:eastAsia="宋体"/>
                <w:color w:val="000000"/>
                <w:kern w:val="0"/>
                <w:sz w:val="24"/>
              </w:rPr>
              <w:t>0.565</w:t>
            </w:r>
          </w:p>
        </w:tc>
        <w:tc>
          <w:tcPr>
            <w:tcW w:w="890" w:type="dxa"/>
            <w:tcBorders>
              <w:top w:val="nil"/>
              <w:left w:val="nil"/>
              <w:bottom w:val="single" w:color="auto" w:sz="4" w:space="0"/>
              <w:right w:val="single" w:color="auto" w:sz="4" w:space="0"/>
            </w:tcBorders>
            <w:shd w:val="clear" w:color="auto" w:fill="auto"/>
            <w:vAlign w:val="center"/>
          </w:tcPr>
          <w:p w14:paraId="013DED88">
            <w:pPr>
              <w:widowControl/>
              <w:ind w:firstLine="0" w:firstLineChars="0"/>
              <w:jc w:val="center"/>
              <w:rPr>
                <w:rFonts w:eastAsia="宋体"/>
                <w:color w:val="000000"/>
                <w:kern w:val="0"/>
                <w:sz w:val="24"/>
              </w:rPr>
            </w:pPr>
            <w:r>
              <w:rPr>
                <w:rFonts w:eastAsia="宋体"/>
                <w:color w:val="000000"/>
                <w:kern w:val="0"/>
                <w:sz w:val="24"/>
              </w:rPr>
              <w:t>0.581</w:t>
            </w:r>
          </w:p>
        </w:tc>
        <w:tc>
          <w:tcPr>
            <w:tcW w:w="850" w:type="dxa"/>
            <w:tcBorders>
              <w:top w:val="nil"/>
              <w:left w:val="nil"/>
              <w:bottom w:val="single" w:color="auto" w:sz="4" w:space="0"/>
              <w:right w:val="single" w:color="auto" w:sz="4" w:space="0"/>
            </w:tcBorders>
            <w:shd w:val="clear" w:color="auto" w:fill="auto"/>
            <w:vAlign w:val="center"/>
          </w:tcPr>
          <w:p w14:paraId="6ABD9E00">
            <w:pPr>
              <w:widowControl/>
              <w:ind w:firstLine="0" w:firstLineChars="0"/>
              <w:jc w:val="center"/>
              <w:rPr>
                <w:rFonts w:eastAsia="宋体"/>
                <w:color w:val="000000"/>
                <w:kern w:val="0"/>
                <w:sz w:val="24"/>
              </w:rPr>
            </w:pPr>
            <w:r>
              <w:rPr>
                <w:rFonts w:eastAsia="宋体"/>
                <w:color w:val="000000"/>
                <w:kern w:val="0"/>
                <w:sz w:val="24"/>
              </w:rPr>
              <w:t>3.5</w:t>
            </w:r>
          </w:p>
        </w:tc>
      </w:tr>
      <w:tr w14:paraId="014B29EA">
        <w:tblPrEx>
          <w:tblCellMar>
            <w:top w:w="0" w:type="dxa"/>
            <w:left w:w="108" w:type="dxa"/>
            <w:bottom w:w="0" w:type="dxa"/>
            <w:right w:w="108" w:type="dxa"/>
          </w:tblCellMar>
        </w:tblPrEx>
        <w:trPr>
          <w:trHeight w:val="567" w:hRule="atLeast"/>
          <w:jc w:val="center"/>
        </w:trPr>
        <w:tc>
          <w:tcPr>
            <w:tcW w:w="722" w:type="dxa"/>
            <w:tcBorders>
              <w:top w:val="nil"/>
              <w:left w:val="single" w:color="auto" w:sz="4" w:space="0"/>
              <w:bottom w:val="single" w:color="auto" w:sz="4" w:space="0"/>
              <w:right w:val="single" w:color="auto" w:sz="4" w:space="0"/>
            </w:tcBorders>
            <w:shd w:val="clear" w:color="auto" w:fill="auto"/>
            <w:vAlign w:val="center"/>
          </w:tcPr>
          <w:p w14:paraId="2CD01901">
            <w:pPr>
              <w:widowControl/>
              <w:ind w:firstLine="0" w:firstLineChars="0"/>
              <w:jc w:val="center"/>
              <w:rPr>
                <w:rFonts w:eastAsia="宋体"/>
                <w:color w:val="000000"/>
                <w:kern w:val="0"/>
                <w:sz w:val="24"/>
              </w:rPr>
            </w:pPr>
            <w:r>
              <w:rPr>
                <w:rFonts w:eastAsia="宋体"/>
                <w:color w:val="000000"/>
                <w:kern w:val="0"/>
                <w:sz w:val="24"/>
              </w:rPr>
              <w:t>11</w:t>
            </w:r>
          </w:p>
        </w:tc>
        <w:tc>
          <w:tcPr>
            <w:tcW w:w="1379" w:type="dxa"/>
            <w:tcBorders>
              <w:top w:val="nil"/>
              <w:left w:val="nil"/>
              <w:bottom w:val="single" w:color="auto" w:sz="4" w:space="0"/>
              <w:right w:val="single" w:color="auto" w:sz="4" w:space="0"/>
            </w:tcBorders>
            <w:shd w:val="clear" w:color="auto" w:fill="auto"/>
            <w:vAlign w:val="center"/>
          </w:tcPr>
          <w:p w14:paraId="2B98185A">
            <w:pPr>
              <w:widowControl/>
              <w:ind w:firstLine="0" w:firstLineChars="0"/>
              <w:jc w:val="center"/>
              <w:rPr>
                <w:rFonts w:ascii="宋体" w:hAnsi="宋体" w:eastAsia="宋体" w:cs="宋体"/>
                <w:color w:val="000000"/>
                <w:kern w:val="0"/>
                <w:sz w:val="24"/>
              </w:rPr>
            </w:pPr>
            <w:r>
              <w:rPr>
                <w:rFonts w:hint="eastAsia" w:ascii="宋体" w:hAnsi="宋体" w:eastAsia="宋体" w:cs="宋体"/>
                <w:color w:val="000000"/>
                <w:kern w:val="0"/>
                <w:sz w:val="24"/>
              </w:rPr>
              <w:t>姜黄制品（咖喱粉）</w:t>
            </w:r>
          </w:p>
        </w:tc>
        <w:tc>
          <w:tcPr>
            <w:tcW w:w="1507" w:type="dxa"/>
            <w:tcBorders>
              <w:top w:val="nil"/>
              <w:left w:val="nil"/>
              <w:bottom w:val="single" w:color="auto" w:sz="4" w:space="0"/>
              <w:right w:val="single" w:color="auto" w:sz="4" w:space="0"/>
            </w:tcBorders>
            <w:shd w:val="clear" w:color="auto" w:fill="auto"/>
            <w:vAlign w:val="center"/>
          </w:tcPr>
          <w:p w14:paraId="127A9705">
            <w:pPr>
              <w:widowControl/>
              <w:ind w:firstLine="0" w:firstLineChars="0"/>
              <w:jc w:val="center"/>
              <w:rPr>
                <w:rFonts w:eastAsia="宋体"/>
                <w:kern w:val="0"/>
                <w:sz w:val="24"/>
              </w:rPr>
            </w:pPr>
            <w:r>
              <w:rPr>
                <w:rFonts w:eastAsia="宋体"/>
                <w:kern w:val="0"/>
                <w:sz w:val="24"/>
              </w:rPr>
              <w:t>20232239</w:t>
            </w:r>
          </w:p>
        </w:tc>
        <w:tc>
          <w:tcPr>
            <w:tcW w:w="839" w:type="dxa"/>
            <w:tcBorders>
              <w:top w:val="nil"/>
              <w:left w:val="nil"/>
              <w:bottom w:val="single" w:color="auto" w:sz="4" w:space="0"/>
              <w:right w:val="single" w:color="auto" w:sz="4" w:space="0"/>
            </w:tcBorders>
            <w:shd w:val="clear" w:color="auto" w:fill="auto"/>
            <w:vAlign w:val="center"/>
          </w:tcPr>
          <w:p w14:paraId="3B24C3D0">
            <w:pPr>
              <w:widowControl/>
              <w:ind w:firstLine="0" w:firstLineChars="0"/>
              <w:jc w:val="center"/>
              <w:rPr>
                <w:rFonts w:eastAsia="宋体"/>
                <w:color w:val="000000"/>
                <w:kern w:val="0"/>
                <w:sz w:val="24"/>
              </w:rPr>
            </w:pPr>
            <w:r>
              <w:rPr>
                <w:rFonts w:eastAsia="宋体"/>
                <w:color w:val="000000"/>
                <w:kern w:val="0"/>
                <w:sz w:val="24"/>
              </w:rPr>
              <w:t>0.401</w:t>
            </w:r>
          </w:p>
        </w:tc>
        <w:tc>
          <w:tcPr>
            <w:tcW w:w="850" w:type="dxa"/>
            <w:tcBorders>
              <w:top w:val="nil"/>
              <w:left w:val="nil"/>
              <w:bottom w:val="single" w:color="auto" w:sz="4" w:space="0"/>
              <w:right w:val="single" w:color="auto" w:sz="4" w:space="0"/>
            </w:tcBorders>
            <w:shd w:val="clear" w:color="auto" w:fill="auto"/>
            <w:vAlign w:val="center"/>
          </w:tcPr>
          <w:p w14:paraId="21B774D5">
            <w:pPr>
              <w:widowControl/>
              <w:ind w:firstLine="0" w:firstLineChars="0"/>
              <w:jc w:val="center"/>
              <w:rPr>
                <w:rFonts w:eastAsia="宋体"/>
                <w:color w:val="000000"/>
                <w:kern w:val="0"/>
                <w:sz w:val="24"/>
              </w:rPr>
            </w:pPr>
            <w:r>
              <w:rPr>
                <w:rFonts w:eastAsia="宋体"/>
                <w:color w:val="000000"/>
                <w:kern w:val="0"/>
                <w:sz w:val="24"/>
              </w:rPr>
              <w:t>0.403</w:t>
            </w:r>
          </w:p>
        </w:tc>
        <w:tc>
          <w:tcPr>
            <w:tcW w:w="811" w:type="dxa"/>
            <w:tcBorders>
              <w:top w:val="nil"/>
              <w:left w:val="nil"/>
              <w:bottom w:val="single" w:color="auto" w:sz="4" w:space="0"/>
              <w:right w:val="single" w:color="auto" w:sz="4" w:space="0"/>
            </w:tcBorders>
            <w:shd w:val="clear" w:color="auto" w:fill="auto"/>
            <w:vAlign w:val="center"/>
          </w:tcPr>
          <w:p w14:paraId="309A499A">
            <w:pPr>
              <w:widowControl/>
              <w:ind w:firstLine="0" w:firstLineChars="0"/>
              <w:jc w:val="center"/>
              <w:rPr>
                <w:rFonts w:eastAsia="宋体"/>
                <w:color w:val="000000"/>
                <w:kern w:val="0"/>
                <w:sz w:val="24"/>
              </w:rPr>
            </w:pPr>
            <w:r>
              <w:rPr>
                <w:rFonts w:eastAsia="宋体"/>
                <w:color w:val="000000"/>
                <w:kern w:val="0"/>
                <w:sz w:val="24"/>
              </w:rPr>
              <w:t>0.411</w:t>
            </w:r>
          </w:p>
        </w:tc>
        <w:tc>
          <w:tcPr>
            <w:tcW w:w="851" w:type="dxa"/>
            <w:tcBorders>
              <w:top w:val="nil"/>
              <w:left w:val="nil"/>
              <w:bottom w:val="single" w:color="auto" w:sz="4" w:space="0"/>
              <w:right w:val="single" w:color="auto" w:sz="4" w:space="0"/>
            </w:tcBorders>
            <w:shd w:val="clear" w:color="auto" w:fill="auto"/>
            <w:vAlign w:val="center"/>
          </w:tcPr>
          <w:p w14:paraId="511B42C4">
            <w:pPr>
              <w:widowControl/>
              <w:ind w:firstLine="0" w:firstLineChars="0"/>
              <w:jc w:val="center"/>
              <w:rPr>
                <w:rFonts w:eastAsia="宋体"/>
                <w:color w:val="000000"/>
                <w:kern w:val="0"/>
                <w:sz w:val="24"/>
              </w:rPr>
            </w:pPr>
            <w:r>
              <w:rPr>
                <w:rFonts w:eastAsia="宋体"/>
                <w:color w:val="000000"/>
                <w:kern w:val="0"/>
                <w:sz w:val="24"/>
              </w:rPr>
              <w:t>0.423</w:t>
            </w:r>
          </w:p>
        </w:tc>
        <w:tc>
          <w:tcPr>
            <w:tcW w:w="890" w:type="dxa"/>
            <w:tcBorders>
              <w:top w:val="nil"/>
              <w:left w:val="nil"/>
              <w:bottom w:val="single" w:color="auto" w:sz="4" w:space="0"/>
              <w:right w:val="single" w:color="auto" w:sz="4" w:space="0"/>
            </w:tcBorders>
            <w:shd w:val="clear" w:color="auto" w:fill="auto"/>
            <w:vAlign w:val="center"/>
          </w:tcPr>
          <w:p w14:paraId="0C19BEA9">
            <w:pPr>
              <w:widowControl/>
              <w:ind w:firstLine="0" w:firstLineChars="0"/>
              <w:jc w:val="center"/>
              <w:rPr>
                <w:rFonts w:eastAsia="宋体"/>
                <w:color w:val="000000"/>
                <w:kern w:val="0"/>
                <w:sz w:val="24"/>
              </w:rPr>
            </w:pPr>
            <w:r>
              <w:rPr>
                <w:rFonts w:eastAsia="宋体"/>
                <w:color w:val="000000"/>
                <w:kern w:val="0"/>
                <w:sz w:val="24"/>
              </w:rPr>
              <w:t>0.410</w:t>
            </w:r>
          </w:p>
        </w:tc>
        <w:tc>
          <w:tcPr>
            <w:tcW w:w="850" w:type="dxa"/>
            <w:tcBorders>
              <w:top w:val="nil"/>
              <w:left w:val="nil"/>
              <w:bottom w:val="single" w:color="auto" w:sz="4" w:space="0"/>
              <w:right w:val="single" w:color="auto" w:sz="4" w:space="0"/>
            </w:tcBorders>
            <w:shd w:val="clear" w:color="auto" w:fill="auto"/>
            <w:vAlign w:val="center"/>
          </w:tcPr>
          <w:p w14:paraId="33255541">
            <w:pPr>
              <w:widowControl/>
              <w:ind w:firstLine="0" w:firstLineChars="0"/>
              <w:jc w:val="center"/>
              <w:rPr>
                <w:rFonts w:eastAsia="宋体"/>
                <w:color w:val="000000"/>
                <w:kern w:val="0"/>
                <w:sz w:val="24"/>
              </w:rPr>
            </w:pPr>
            <w:r>
              <w:rPr>
                <w:rFonts w:eastAsia="宋体"/>
                <w:color w:val="000000"/>
                <w:kern w:val="0"/>
                <w:sz w:val="24"/>
              </w:rPr>
              <w:t>2.4</w:t>
            </w:r>
          </w:p>
        </w:tc>
      </w:tr>
      <w:tr w14:paraId="77A4C875">
        <w:tblPrEx>
          <w:tblCellMar>
            <w:top w:w="0" w:type="dxa"/>
            <w:left w:w="108" w:type="dxa"/>
            <w:bottom w:w="0" w:type="dxa"/>
            <w:right w:w="108" w:type="dxa"/>
          </w:tblCellMar>
        </w:tblPrEx>
        <w:trPr>
          <w:trHeight w:val="567" w:hRule="atLeast"/>
          <w:jc w:val="center"/>
        </w:trPr>
        <w:tc>
          <w:tcPr>
            <w:tcW w:w="722" w:type="dxa"/>
            <w:tcBorders>
              <w:top w:val="nil"/>
              <w:left w:val="single" w:color="auto" w:sz="4" w:space="0"/>
              <w:bottom w:val="single" w:color="auto" w:sz="4" w:space="0"/>
              <w:right w:val="single" w:color="auto" w:sz="4" w:space="0"/>
            </w:tcBorders>
            <w:shd w:val="clear" w:color="auto" w:fill="auto"/>
            <w:vAlign w:val="center"/>
          </w:tcPr>
          <w:p w14:paraId="64E8E886">
            <w:pPr>
              <w:widowControl/>
              <w:ind w:firstLine="0" w:firstLineChars="0"/>
              <w:jc w:val="center"/>
              <w:rPr>
                <w:rFonts w:eastAsia="宋体"/>
                <w:color w:val="000000"/>
                <w:kern w:val="0"/>
                <w:sz w:val="24"/>
              </w:rPr>
            </w:pPr>
            <w:r>
              <w:rPr>
                <w:rFonts w:eastAsia="宋体"/>
                <w:color w:val="000000"/>
                <w:kern w:val="0"/>
                <w:sz w:val="24"/>
              </w:rPr>
              <w:t>12</w:t>
            </w:r>
          </w:p>
        </w:tc>
        <w:tc>
          <w:tcPr>
            <w:tcW w:w="1379" w:type="dxa"/>
            <w:tcBorders>
              <w:top w:val="nil"/>
              <w:left w:val="nil"/>
              <w:bottom w:val="single" w:color="auto" w:sz="4" w:space="0"/>
              <w:right w:val="single" w:color="auto" w:sz="4" w:space="0"/>
            </w:tcBorders>
            <w:shd w:val="clear" w:color="auto" w:fill="auto"/>
            <w:vAlign w:val="center"/>
          </w:tcPr>
          <w:p w14:paraId="62D45EC1">
            <w:pPr>
              <w:widowControl/>
              <w:ind w:firstLine="0" w:firstLineChars="0"/>
              <w:jc w:val="center"/>
              <w:rPr>
                <w:rFonts w:ascii="宋体" w:hAnsi="宋体" w:eastAsia="宋体" w:cs="宋体"/>
                <w:color w:val="000000"/>
                <w:kern w:val="0"/>
                <w:sz w:val="24"/>
              </w:rPr>
            </w:pPr>
            <w:r>
              <w:rPr>
                <w:rFonts w:hint="eastAsia" w:ascii="宋体" w:hAnsi="宋体" w:eastAsia="宋体" w:cs="宋体"/>
                <w:color w:val="000000"/>
                <w:kern w:val="0"/>
                <w:sz w:val="24"/>
              </w:rPr>
              <w:t>姜黄制品（咖喱粉）</w:t>
            </w:r>
          </w:p>
        </w:tc>
        <w:tc>
          <w:tcPr>
            <w:tcW w:w="1507" w:type="dxa"/>
            <w:tcBorders>
              <w:top w:val="nil"/>
              <w:left w:val="nil"/>
              <w:bottom w:val="single" w:color="auto" w:sz="4" w:space="0"/>
              <w:right w:val="single" w:color="auto" w:sz="4" w:space="0"/>
            </w:tcBorders>
            <w:shd w:val="clear" w:color="auto" w:fill="auto"/>
            <w:vAlign w:val="center"/>
          </w:tcPr>
          <w:p w14:paraId="0163EC1F">
            <w:pPr>
              <w:widowControl/>
              <w:ind w:firstLine="0" w:firstLineChars="0"/>
              <w:jc w:val="center"/>
              <w:rPr>
                <w:rFonts w:eastAsia="宋体"/>
                <w:kern w:val="0"/>
                <w:sz w:val="24"/>
              </w:rPr>
            </w:pPr>
            <w:r>
              <w:rPr>
                <w:rFonts w:eastAsia="宋体"/>
                <w:kern w:val="0"/>
                <w:sz w:val="24"/>
              </w:rPr>
              <w:t>2509090005</w:t>
            </w:r>
          </w:p>
        </w:tc>
        <w:tc>
          <w:tcPr>
            <w:tcW w:w="839" w:type="dxa"/>
            <w:tcBorders>
              <w:top w:val="nil"/>
              <w:left w:val="nil"/>
              <w:bottom w:val="single" w:color="auto" w:sz="4" w:space="0"/>
              <w:right w:val="single" w:color="auto" w:sz="4" w:space="0"/>
            </w:tcBorders>
            <w:shd w:val="clear" w:color="auto" w:fill="auto"/>
            <w:vAlign w:val="center"/>
          </w:tcPr>
          <w:p w14:paraId="3E398668">
            <w:pPr>
              <w:widowControl/>
              <w:ind w:firstLine="0" w:firstLineChars="0"/>
              <w:jc w:val="center"/>
              <w:rPr>
                <w:rFonts w:eastAsia="宋体"/>
                <w:color w:val="000000"/>
                <w:kern w:val="0"/>
                <w:sz w:val="24"/>
              </w:rPr>
            </w:pPr>
            <w:r>
              <w:rPr>
                <w:rFonts w:eastAsia="宋体"/>
                <w:color w:val="000000"/>
                <w:kern w:val="0"/>
                <w:sz w:val="24"/>
              </w:rPr>
              <w:t>0.465</w:t>
            </w:r>
          </w:p>
        </w:tc>
        <w:tc>
          <w:tcPr>
            <w:tcW w:w="850" w:type="dxa"/>
            <w:tcBorders>
              <w:top w:val="nil"/>
              <w:left w:val="nil"/>
              <w:bottom w:val="single" w:color="auto" w:sz="4" w:space="0"/>
              <w:right w:val="single" w:color="auto" w:sz="4" w:space="0"/>
            </w:tcBorders>
            <w:shd w:val="clear" w:color="auto" w:fill="auto"/>
            <w:vAlign w:val="center"/>
          </w:tcPr>
          <w:p w14:paraId="3D9F5AFF">
            <w:pPr>
              <w:widowControl/>
              <w:ind w:firstLine="0" w:firstLineChars="0"/>
              <w:jc w:val="center"/>
              <w:rPr>
                <w:rFonts w:eastAsia="宋体"/>
                <w:color w:val="000000"/>
                <w:kern w:val="0"/>
                <w:sz w:val="24"/>
              </w:rPr>
            </w:pPr>
            <w:r>
              <w:rPr>
                <w:rFonts w:eastAsia="宋体"/>
                <w:color w:val="000000"/>
                <w:kern w:val="0"/>
                <w:sz w:val="24"/>
              </w:rPr>
              <w:t>0.473</w:t>
            </w:r>
          </w:p>
        </w:tc>
        <w:tc>
          <w:tcPr>
            <w:tcW w:w="811" w:type="dxa"/>
            <w:tcBorders>
              <w:top w:val="nil"/>
              <w:left w:val="nil"/>
              <w:bottom w:val="single" w:color="auto" w:sz="4" w:space="0"/>
              <w:right w:val="single" w:color="auto" w:sz="4" w:space="0"/>
            </w:tcBorders>
            <w:shd w:val="clear" w:color="auto" w:fill="auto"/>
            <w:vAlign w:val="center"/>
          </w:tcPr>
          <w:p w14:paraId="6561E6D8">
            <w:pPr>
              <w:widowControl/>
              <w:ind w:firstLine="0" w:firstLineChars="0"/>
              <w:jc w:val="center"/>
              <w:rPr>
                <w:rFonts w:eastAsia="宋体"/>
                <w:color w:val="000000"/>
                <w:kern w:val="0"/>
                <w:sz w:val="24"/>
              </w:rPr>
            </w:pPr>
            <w:r>
              <w:rPr>
                <w:rFonts w:eastAsia="宋体"/>
                <w:color w:val="000000"/>
                <w:kern w:val="0"/>
                <w:sz w:val="24"/>
              </w:rPr>
              <w:t>0.476</w:t>
            </w:r>
          </w:p>
        </w:tc>
        <w:tc>
          <w:tcPr>
            <w:tcW w:w="851" w:type="dxa"/>
            <w:tcBorders>
              <w:top w:val="nil"/>
              <w:left w:val="nil"/>
              <w:bottom w:val="single" w:color="auto" w:sz="4" w:space="0"/>
              <w:right w:val="single" w:color="auto" w:sz="4" w:space="0"/>
            </w:tcBorders>
            <w:shd w:val="clear" w:color="auto" w:fill="auto"/>
            <w:vAlign w:val="center"/>
          </w:tcPr>
          <w:p w14:paraId="6BD0C00D">
            <w:pPr>
              <w:widowControl/>
              <w:ind w:firstLine="0" w:firstLineChars="0"/>
              <w:jc w:val="center"/>
              <w:rPr>
                <w:rFonts w:eastAsia="宋体"/>
                <w:color w:val="000000"/>
                <w:kern w:val="0"/>
                <w:sz w:val="24"/>
              </w:rPr>
            </w:pPr>
            <w:r>
              <w:rPr>
                <w:rFonts w:eastAsia="宋体"/>
                <w:color w:val="000000"/>
                <w:kern w:val="0"/>
                <w:sz w:val="24"/>
              </w:rPr>
              <w:t>0.468</w:t>
            </w:r>
          </w:p>
        </w:tc>
        <w:tc>
          <w:tcPr>
            <w:tcW w:w="890" w:type="dxa"/>
            <w:tcBorders>
              <w:top w:val="nil"/>
              <w:left w:val="nil"/>
              <w:bottom w:val="single" w:color="auto" w:sz="4" w:space="0"/>
              <w:right w:val="single" w:color="auto" w:sz="4" w:space="0"/>
            </w:tcBorders>
            <w:shd w:val="clear" w:color="auto" w:fill="auto"/>
            <w:vAlign w:val="center"/>
          </w:tcPr>
          <w:p w14:paraId="46C7824C">
            <w:pPr>
              <w:widowControl/>
              <w:ind w:firstLine="0" w:firstLineChars="0"/>
              <w:jc w:val="center"/>
              <w:rPr>
                <w:rFonts w:eastAsia="宋体"/>
                <w:color w:val="000000"/>
                <w:kern w:val="0"/>
                <w:sz w:val="24"/>
              </w:rPr>
            </w:pPr>
            <w:r>
              <w:rPr>
                <w:rFonts w:eastAsia="宋体"/>
                <w:color w:val="000000"/>
                <w:kern w:val="0"/>
                <w:sz w:val="24"/>
              </w:rPr>
              <w:t>0.471</w:t>
            </w:r>
          </w:p>
        </w:tc>
        <w:tc>
          <w:tcPr>
            <w:tcW w:w="850" w:type="dxa"/>
            <w:tcBorders>
              <w:top w:val="nil"/>
              <w:left w:val="nil"/>
              <w:bottom w:val="single" w:color="auto" w:sz="4" w:space="0"/>
              <w:right w:val="single" w:color="auto" w:sz="4" w:space="0"/>
            </w:tcBorders>
            <w:shd w:val="clear" w:color="auto" w:fill="auto"/>
            <w:vAlign w:val="center"/>
          </w:tcPr>
          <w:p w14:paraId="02979095">
            <w:pPr>
              <w:widowControl/>
              <w:ind w:firstLine="0" w:firstLineChars="0"/>
              <w:jc w:val="center"/>
              <w:rPr>
                <w:rFonts w:eastAsia="宋体"/>
                <w:color w:val="000000"/>
                <w:kern w:val="0"/>
                <w:sz w:val="24"/>
              </w:rPr>
            </w:pPr>
            <w:r>
              <w:rPr>
                <w:rFonts w:eastAsia="宋体"/>
                <w:color w:val="000000"/>
                <w:kern w:val="0"/>
                <w:sz w:val="24"/>
              </w:rPr>
              <w:t>1.0</w:t>
            </w:r>
          </w:p>
        </w:tc>
      </w:tr>
    </w:tbl>
    <w:p w14:paraId="691FB548">
      <w:pPr>
        <w:pStyle w:val="2"/>
      </w:pPr>
    </w:p>
    <w:p w14:paraId="1E73A26E">
      <w:pPr>
        <w:autoSpaceDE w:val="0"/>
        <w:autoSpaceDN w:val="0"/>
        <w:adjustRightInd w:val="0"/>
        <w:spacing w:line="560" w:lineRule="exact"/>
        <w:ind w:firstLine="640"/>
        <w:jc w:val="left"/>
        <w:rPr>
          <w:rFonts w:ascii="黑体" w:hAnsi="黑体" w:eastAsia="黑体" w:cs="仿宋_GB2312"/>
          <w:szCs w:val="32"/>
        </w:rPr>
      </w:pPr>
      <w:r>
        <w:rPr>
          <w:rFonts w:hint="eastAsia" w:ascii="黑体" w:hAnsi="黑体" w:eastAsia="黑体" w:cs="仿宋_GB2312"/>
          <w:szCs w:val="32"/>
        </w:rPr>
        <w:t>六、</w:t>
      </w:r>
      <w:bookmarkEnd w:id="2"/>
      <w:r>
        <w:rPr>
          <w:rFonts w:hint="eastAsia" w:ascii="黑体" w:hAnsi="黑体" w:eastAsia="黑体" w:cs="仿宋_GB2312"/>
          <w:szCs w:val="32"/>
        </w:rPr>
        <w:t>重大分歧意见的处理经过和依据</w:t>
      </w:r>
    </w:p>
    <w:p w14:paraId="469DEF01">
      <w:pPr>
        <w:spacing w:line="560" w:lineRule="exact"/>
        <w:ind w:firstLine="640"/>
        <w:rPr>
          <w:rFonts w:ascii="仿宋_GB2312" w:hAnsi="宋体"/>
          <w:szCs w:val="28"/>
        </w:rPr>
      </w:pPr>
      <w:r>
        <w:rPr>
          <w:rFonts w:hint="eastAsia" w:ascii="仿宋_GB2312" w:hAnsi="宋体"/>
          <w:szCs w:val="28"/>
        </w:rPr>
        <w:t>本标准研制过程中无重大分歧意见。</w:t>
      </w:r>
    </w:p>
    <w:p w14:paraId="0BC3590D">
      <w:pPr>
        <w:autoSpaceDE w:val="0"/>
        <w:autoSpaceDN w:val="0"/>
        <w:adjustRightInd w:val="0"/>
        <w:spacing w:line="560" w:lineRule="exact"/>
        <w:ind w:firstLine="640"/>
        <w:jc w:val="left"/>
        <w:rPr>
          <w:rFonts w:ascii="黑体" w:hAnsi="黑体" w:eastAsia="黑体" w:cs="仿宋_GB2312"/>
          <w:szCs w:val="32"/>
        </w:rPr>
      </w:pPr>
      <w:r>
        <w:rPr>
          <w:rFonts w:hint="eastAsia" w:ascii="黑体" w:hAnsi="黑体" w:eastAsia="黑体" w:cs="仿宋_GB2312"/>
          <w:szCs w:val="32"/>
        </w:rPr>
        <w:t>七</w:t>
      </w:r>
      <w:r>
        <w:rPr>
          <w:rFonts w:ascii="黑体" w:hAnsi="黑体" w:eastAsia="黑体" w:cs="仿宋_GB2312"/>
          <w:szCs w:val="32"/>
        </w:rPr>
        <w:t>、</w:t>
      </w:r>
      <w:r>
        <w:rPr>
          <w:rFonts w:hint="eastAsia" w:ascii="黑体" w:hAnsi="黑体" w:eastAsia="黑体" w:cs="仿宋_GB2312"/>
          <w:szCs w:val="32"/>
        </w:rPr>
        <w:t>实施标准的措施</w:t>
      </w:r>
    </w:p>
    <w:p w14:paraId="76667171">
      <w:pPr>
        <w:spacing w:line="560" w:lineRule="exact"/>
        <w:ind w:firstLine="640"/>
        <w:rPr>
          <w:rFonts w:ascii="仿宋_GB2312" w:hAnsi="宋体"/>
          <w:b/>
          <w:szCs w:val="28"/>
        </w:rPr>
      </w:pPr>
      <w:r>
        <w:rPr>
          <w:rFonts w:hint="eastAsia" w:ascii="楷体_GB2312" w:eastAsia="楷体_GB2312"/>
          <w:bCs/>
          <w:kern w:val="0"/>
          <w:szCs w:val="32"/>
        </w:rPr>
        <w:t>（一）标准报批发布后，成立标准宣贯工作组</w:t>
      </w:r>
    </w:p>
    <w:p w14:paraId="0D388CEF">
      <w:pPr>
        <w:spacing w:line="560" w:lineRule="exact"/>
        <w:ind w:firstLine="640"/>
        <w:rPr>
          <w:rFonts w:ascii="仿宋_GB2312" w:hAnsi="宋体"/>
          <w:szCs w:val="28"/>
        </w:rPr>
      </w:pPr>
      <w:r>
        <w:rPr>
          <w:rFonts w:hint="eastAsia" w:ascii="仿宋_GB2312" w:hAnsi="宋体"/>
          <w:szCs w:val="28"/>
        </w:rPr>
        <w:t>本标准发布后，成立以主要起草人为成员的标准宣贯工作组，主要负责标准的宣贯实施培训计划制定、标准实施交流会策划、标准实施信息反馈收集和标准实施效果评估等工作，并根据标准实施信息反馈和标准实施效果评估情况，及时组织标准复审修订。</w:t>
      </w:r>
    </w:p>
    <w:p w14:paraId="0BA4797F">
      <w:pPr>
        <w:spacing w:line="560" w:lineRule="exact"/>
        <w:ind w:firstLine="640"/>
        <w:rPr>
          <w:rFonts w:ascii="仿宋_GB2312" w:hAnsi="宋体"/>
          <w:b/>
          <w:szCs w:val="28"/>
        </w:rPr>
      </w:pPr>
      <w:r>
        <w:rPr>
          <w:rFonts w:hint="eastAsia" w:ascii="楷体_GB2312" w:eastAsia="楷体_GB2312"/>
          <w:bCs/>
          <w:kern w:val="0"/>
          <w:szCs w:val="32"/>
        </w:rPr>
        <w:t>（二）组织开展标准宣贯培训</w:t>
      </w:r>
    </w:p>
    <w:p w14:paraId="3383B8F1">
      <w:pPr>
        <w:spacing w:line="560" w:lineRule="exact"/>
        <w:ind w:firstLine="640"/>
        <w:rPr>
          <w:rFonts w:ascii="仿宋_GB2312" w:hAnsi="宋体"/>
          <w:szCs w:val="28"/>
        </w:rPr>
      </w:pPr>
      <w:r>
        <w:rPr>
          <w:rFonts w:hint="eastAsia" w:ascii="仿宋_GB2312" w:hAnsi="宋体"/>
          <w:szCs w:val="28"/>
        </w:rPr>
        <w:t>标准发布实施后，标准宣贯工作小组制作标准解读宣贯培训PPT课件和标准核心技术明白书，并按标准宣贯培训计划深入各市县相关机构、单位开展标准宣贯培训，对标准进行逐条解读，让技术人员掌握标准核心内容，助力标准实施落地。</w:t>
      </w:r>
    </w:p>
    <w:p w14:paraId="678F0EC4">
      <w:pPr>
        <w:spacing w:line="560" w:lineRule="exact"/>
        <w:ind w:firstLine="640"/>
        <w:rPr>
          <w:rFonts w:ascii="楷体_GB2312" w:eastAsia="楷体_GB2312"/>
          <w:bCs/>
          <w:kern w:val="0"/>
          <w:szCs w:val="32"/>
        </w:rPr>
      </w:pPr>
      <w:r>
        <w:rPr>
          <w:rFonts w:hint="eastAsia" w:ascii="楷体_GB2312" w:eastAsia="楷体_GB2312"/>
          <w:bCs/>
          <w:kern w:val="0"/>
          <w:szCs w:val="32"/>
        </w:rPr>
        <w:t>（三）开展标准实施交流会，收集标准实施反馈信息</w:t>
      </w:r>
    </w:p>
    <w:p w14:paraId="68D85691">
      <w:pPr>
        <w:spacing w:line="560" w:lineRule="exact"/>
        <w:ind w:firstLine="640"/>
        <w:rPr>
          <w:rFonts w:ascii="仿宋_GB2312" w:hAnsi="宋体"/>
          <w:szCs w:val="28"/>
        </w:rPr>
      </w:pPr>
      <w:r>
        <w:rPr>
          <w:rFonts w:hint="eastAsia" w:ascii="仿宋_GB2312" w:hAnsi="宋体"/>
          <w:szCs w:val="28"/>
        </w:rPr>
        <w:t>标准起草小组深入各市县相关机构、单位组织技术人员召开标准实施交流会，听取标准实施过程中存在的问题并做好记录和解答，对存在的问题组织专家团队进行研讨，为标准的复审修订做准备。</w:t>
      </w:r>
    </w:p>
    <w:p w14:paraId="21EB80CA">
      <w:pPr>
        <w:spacing w:line="560" w:lineRule="exact"/>
        <w:ind w:firstLine="640"/>
        <w:rPr>
          <w:rFonts w:ascii="楷体_GB2312" w:eastAsia="楷体_GB2312"/>
          <w:bCs/>
          <w:kern w:val="0"/>
          <w:szCs w:val="32"/>
        </w:rPr>
      </w:pPr>
      <w:r>
        <w:rPr>
          <w:rFonts w:hint="eastAsia" w:ascii="楷体_GB2312" w:eastAsia="楷体_GB2312"/>
          <w:bCs/>
          <w:kern w:val="0"/>
          <w:szCs w:val="32"/>
        </w:rPr>
        <w:t>（四）开展标准实施效果评估</w:t>
      </w:r>
    </w:p>
    <w:p w14:paraId="375A3368">
      <w:pPr>
        <w:spacing w:line="560" w:lineRule="exact"/>
        <w:ind w:firstLine="640"/>
        <w:rPr>
          <w:rFonts w:ascii="仿宋_GB2312" w:hAnsi="宋体"/>
          <w:szCs w:val="28"/>
        </w:rPr>
      </w:pPr>
      <w:r>
        <w:rPr>
          <w:rFonts w:hint="eastAsia" w:ascii="仿宋_GB2312" w:hAnsi="宋体"/>
          <w:szCs w:val="28"/>
        </w:rPr>
        <w:t>标准实施满2年，每年标准宣贯工作组采取网络调查、问卷调查、实地调研、召开座谈会或论证会、专家咨询等方式开展标准实施效果评估，并形成标准实施效果评估报告，为标准的复审修订做准备。</w:t>
      </w:r>
    </w:p>
    <w:p w14:paraId="1E6E6069">
      <w:pPr>
        <w:autoSpaceDE w:val="0"/>
        <w:autoSpaceDN w:val="0"/>
        <w:adjustRightInd w:val="0"/>
        <w:spacing w:line="560" w:lineRule="exact"/>
        <w:ind w:firstLine="640"/>
        <w:jc w:val="left"/>
        <w:rPr>
          <w:rFonts w:ascii="黑体" w:hAnsi="黑体" w:eastAsia="黑体" w:cs="仿宋_GB2312"/>
          <w:szCs w:val="32"/>
        </w:rPr>
      </w:pPr>
      <w:r>
        <w:rPr>
          <w:rFonts w:hint="eastAsia" w:ascii="黑体" w:hAnsi="黑体" w:eastAsia="黑体" w:cs="仿宋_GB2312"/>
          <w:szCs w:val="32"/>
        </w:rPr>
        <w:t>八、其他应当说明的事项</w:t>
      </w:r>
    </w:p>
    <w:p w14:paraId="32A8491B">
      <w:pPr>
        <w:spacing w:line="560" w:lineRule="exact"/>
        <w:ind w:firstLine="640"/>
        <w:rPr>
          <w:rFonts w:ascii="仿宋_GB2312" w:hAnsi="宋体"/>
          <w:szCs w:val="28"/>
        </w:rPr>
      </w:pPr>
      <w:r>
        <w:rPr>
          <w:rFonts w:hint="eastAsia" w:ascii="仿宋_GB2312" w:hAnsi="宋体"/>
          <w:szCs w:val="28"/>
        </w:rPr>
        <w:t>无。</w:t>
      </w:r>
    </w:p>
    <w:p w14:paraId="6A0B9C23">
      <w:pPr>
        <w:pStyle w:val="3"/>
      </w:pPr>
    </w:p>
    <w:p w14:paraId="3A72BB3E">
      <w:pPr>
        <w:ind w:firstLine="640"/>
      </w:pPr>
    </w:p>
    <w:p w14:paraId="215189E7">
      <w:pPr>
        <w:spacing w:line="560" w:lineRule="exact"/>
        <w:ind w:firstLine="640"/>
        <w:jc w:val="right"/>
        <w:rPr>
          <w:rFonts w:ascii="仿宋_GB2312" w:hAnsi="宋体"/>
          <w:szCs w:val="28"/>
        </w:rPr>
      </w:pPr>
      <w:r>
        <w:rPr>
          <w:rFonts w:hint="eastAsia" w:ascii="仿宋_GB2312" w:hAnsi="宋体"/>
          <w:szCs w:val="28"/>
        </w:rPr>
        <w:t xml:space="preserve">团体标准《姜黄及其制品中姜黄素、去甲氧基姜黄素和双去甲氧基姜黄素含量的测定 高效液相色谱法》标准编制工作组 </w:t>
      </w:r>
      <w:r>
        <w:rPr>
          <w:rFonts w:ascii="仿宋_GB2312" w:hAnsi="宋体"/>
          <w:szCs w:val="28"/>
        </w:rPr>
        <w:t xml:space="preserve">        </w:t>
      </w:r>
    </w:p>
    <w:p w14:paraId="2DBC5FA0">
      <w:pPr>
        <w:wordWrap w:val="0"/>
        <w:spacing w:line="560" w:lineRule="exact"/>
        <w:ind w:firstLine="640"/>
        <w:jc w:val="right"/>
        <w:rPr>
          <w:rFonts w:ascii="仿宋_GB2312" w:hAnsi="宋体"/>
          <w:color w:val="FF0000"/>
          <w:szCs w:val="28"/>
        </w:rPr>
      </w:pPr>
      <w:r>
        <w:rPr>
          <w:rFonts w:ascii="仿宋_GB2312" w:hAnsi="宋体"/>
          <w:szCs w:val="28"/>
        </w:rPr>
        <w:t xml:space="preserve">    </w:t>
      </w:r>
      <w:r>
        <w:rPr>
          <w:rFonts w:hint="eastAsia" w:ascii="仿宋_GB2312" w:hAnsi="宋体"/>
          <w:szCs w:val="28"/>
        </w:rPr>
        <w:t>2025年1</w:t>
      </w:r>
      <w:r>
        <w:rPr>
          <w:rFonts w:ascii="仿宋_GB2312" w:hAnsi="宋体"/>
          <w:szCs w:val="28"/>
        </w:rPr>
        <w:t>1</w:t>
      </w:r>
      <w:r>
        <w:rPr>
          <w:rFonts w:hint="eastAsia" w:ascii="仿宋_GB2312" w:hAnsi="宋体"/>
          <w:szCs w:val="28"/>
        </w:rPr>
        <w:t>月2</w:t>
      </w:r>
      <w:r>
        <w:rPr>
          <w:rFonts w:ascii="仿宋_GB2312" w:hAnsi="宋体"/>
          <w:szCs w:val="28"/>
        </w:rPr>
        <w:t>5</w:t>
      </w:r>
      <w:r>
        <w:rPr>
          <w:rFonts w:hint="eastAsia" w:ascii="仿宋_GB2312" w:hAnsi="宋体"/>
          <w:szCs w:val="28"/>
        </w:rPr>
        <w:t>日</w:t>
      </w:r>
      <w:r>
        <w:rPr>
          <w:rFonts w:ascii="仿宋_GB2312" w:hAnsi="宋体"/>
          <w:color w:val="FF0000"/>
          <w:szCs w:val="28"/>
        </w:rPr>
        <w:t xml:space="preserve"> </w:t>
      </w:r>
    </w:p>
    <w:sectPr>
      <w:headerReference r:id="rId7" w:type="first"/>
      <w:footerReference r:id="rId10" w:type="first"/>
      <w:headerReference r:id="rId5" w:type="default"/>
      <w:footerReference r:id="rId8" w:type="default"/>
      <w:headerReference r:id="rId6" w:type="even"/>
      <w:footerReference r:id="rId9" w:type="even"/>
      <w:pgSz w:w="11906" w:h="16838"/>
      <w:pgMar w:top="1474" w:right="1474" w:bottom="1474" w:left="1474"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13316374"/>
    </w:sdtPr>
    <w:sdtContent>
      <w:p w14:paraId="7998ACB1">
        <w:pPr>
          <w:pStyle w:val="6"/>
          <w:ind w:firstLine="360"/>
          <w:jc w:val="center"/>
        </w:pPr>
        <w:r>
          <w:fldChar w:fldCharType="begin"/>
        </w:r>
        <w:r>
          <w:instrText xml:space="preserve">PAGE   \* MERGEFORMAT</w:instrText>
        </w:r>
        <w:r>
          <w:fldChar w:fldCharType="separate"/>
        </w:r>
        <w:r>
          <w:rPr>
            <w:lang w:val="zh-CN"/>
          </w:rPr>
          <w:t>27</w:t>
        </w:r>
        <w:r>
          <w:fldChar w:fldCharType="end"/>
        </w:r>
      </w:p>
    </w:sdtContent>
  </w:sdt>
  <w:p w14:paraId="4F3A64A6">
    <w:pPr>
      <w:pStyle w:val="6"/>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382F82">
    <w:pPr>
      <w:pStyle w:val="6"/>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1AAF28">
    <w:pPr>
      <w:pStyle w:val="6"/>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EEA4C9">
    <w:pPr>
      <w:pStyle w:val="7"/>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04D656">
    <w:pPr>
      <w:pStyle w:val="7"/>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434E3C">
    <w:pPr>
      <w:pStyle w:val="7"/>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9102AD"/>
    <w:multiLevelType w:val="multilevel"/>
    <w:tmpl w:val="079102AD"/>
    <w:lvl w:ilvl="0" w:tentative="0">
      <w:start w:val="1"/>
      <w:numFmt w:val="decimal"/>
      <w:pStyle w:val="24"/>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
    <w:nsid w:val="0DDE2B46"/>
    <w:multiLevelType w:val="multilevel"/>
    <w:tmpl w:val="0DDE2B46"/>
    <w:lvl w:ilvl="0" w:tentative="0">
      <w:start w:val="1"/>
      <w:numFmt w:val="lowerLetter"/>
      <w:pStyle w:val="28"/>
      <w:suff w:val="nothing"/>
      <w:lvlText w:val="%1   "/>
      <w:lvlJc w:val="left"/>
      <w:pPr>
        <w:ind w:left="544" w:hanging="181"/>
      </w:pPr>
      <w:rPr>
        <w:rFonts w:hint="eastAsia" w:ascii="宋体" w:hAns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2">
    <w:nsid w:val="1DBF583A"/>
    <w:multiLevelType w:val="multilevel"/>
    <w:tmpl w:val="1DBF583A"/>
    <w:lvl w:ilvl="0" w:tentative="0">
      <w:start w:val="1"/>
      <w:numFmt w:val="decimal"/>
      <w:pStyle w:val="27"/>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3">
    <w:nsid w:val="1FC91163"/>
    <w:multiLevelType w:val="multilevel"/>
    <w:tmpl w:val="1FC91163"/>
    <w:lvl w:ilvl="0" w:tentative="0">
      <w:start w:val="1"/>
      <w:numFmt w:val="decimal"/>
      <w:pStyle w:val="19"/>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18"/>
      <w:suff w:val="nothing"/>
      <w:lvlText w:val="%1.%2　"/>
      <w:lvlJc w:val="left"/>
      <w:pPr>
        <w:ind w:left="525"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tentative="0">
      <w:start w:val="1"/>
      <w:numFmt w:val="decimal"/>
      <w:pStyle w:val="20"/>
      <w:suff w:val="nothing"/>
      <w:lvlText w:val="%1.%2.%3　"/>
      <w:lvlJc w:val="left"/>
      <w:pPr>
        <w:ind w:left="0" w:firstLine="0"/>
      </w:pPr>
      <w:rPr>
        <w:rFonts w:hint="eastAsia" w:ascii="黑体" w:hAnsi="Times New Roman" w:eastAsia="黑体"/>
        <w:b w:val="0"/>
        <w:i w:val="0"/>
        <w:sz w:val="21"/>
      </w:rPr>
    </w:lvl>
    <w:lvl w:ilvl="3" w:tentative="0">
      <w:start w:val="1"/>
      <w:numFmt w:val="decimal"/>
      <w:pStyle w:val="21"/>
      <w:suff w:val="nothing"/>
      <w:lvlText w:val="%1.%2.%3.%4　"/>
      <w:lvlJc w:val="left"/>
      <w:pPr>
        <w:ind w:left="0" w:firstLine="0"/>
      </w:pPr>
      <w:rPr>
        <w:rFonts w:hint="eastAsia" w:ascii="黑体" w:hAnsi="Times New Roman" w:eastAsia="黑体"/>
        <w:b w:val="0"/>
        <w:i w:val="0"/>
        <w:sz w:val="21"/>
      </w:rPr>
    </w:lvl>
    <w:lvl w:ilvl="4" w:tentative="0">
      <w:start w:val="1"/>
      <w:numFmt w:val="decimal"/>
      <w:pStyle w:val="22"/>
      <w:suff w:val="nothing"/>
      <w:lvlText w:val="%1.%2.%3.%4.%5　"/>
      <w:lvlJc w:val="left"/>
      <w:pPr>
        <w:ind w:left="0" w:firstLine="0"/>
      </w:pPr>
      <w:rPr>
        <w:rFonts w:hint="eastAsia" w:ascii="黑体" w:hAnsi="Times New Roman" w:eastAsia="黑体"/>
        <w:b w:val="0"/>
        <w:i w:val="0"/>
        <w:sz w:val="21"/>
      </w:rPr>
    </w:lvl>
    <w:lvl w:ilvl="5" w:tentative="0">
      <w:start w:val="1"/>
      <w:numFmt w:val="decimal"/>
      <w:pStyle w:val="23"/>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
    <w:nsid w:val="2A8F7113"/>
    <w:multiLevelType w:val="multilevel"/>
    <w:tmpl w:val="2A8F7113"/>
    <w:lvl w:ilvl="0" w:tentative="0">
      <w:start w:val="1"/>
      <w:numFmt w:val="upperLetter"/>
      <w:pStyle w:val="25"/>
      <w:suff w:val="space"/>
      <w:lvlText w:val="%1"/>
      <w:lvlJc w:val="left"/>
      <w:pPr>
        <w:ind w:left="623" w:hanging="425"/>
      </w:pPr>
      <w:rPr>
        <w:rFonts w:hint="eastAsia"/>
      </w:rPr>
    </w:lvl>
    <w:lvl w:ilvl="1" w:tentative="0">
      <w:start w:val="1"/>
      <w:numFmt w:val="decimal"/>
      <w:pStyle w:val="26"/>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5">
    <w:nsid w:val="557C2AF5"/>
    <w:multiLevelType w:val="multilevel"/>
    <w:tmpl w:val="557C2AF5"/>
    <w:lvl w:ilvl="0" w:tentative="0">
      <w:start w:val="1"/>
      <w:numFmt w:val="decimal"/>
      <w:pStyle w:val="17"/>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6">
    <w:nsid w:val="60B55DC2"/>
    <w:multiLevelType w:val="multilevel"/>
    <w:tmpl w:val="60B55DC2"/>
    <w:lvl w:ilvl="0" w:tentative="0">
      <w:start w:val="1"/>
      <w:numFmt w:val="upperLetter"/>
      <w:lvlText w:val="%1"/>
      <w:lvlJc w:val="left"/>
      <w:pPr>
        <w:tabs>
          <w:tab w:val="left" w:pos="0"/>
        </w:tabs>
        <w:ind w:left="0" w:hanging="425"/>
      </w:pPr>
      <w:rPr>
        <w:rFonts w:hint="eastAsia"/>
      </w:rPr>
    </w:lvl>
    <w:lvl w:ilvl="1" w:tentative="0">
      <w:start w:val="1"/>
      <w:numFmt w:val="decimal"/>
      <w:pStyle w:val="32"/>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7">
    <w:nsid w:val="646260FA"/>
    <w:multiLevelType w:val="multilevel"/>
    <w:tmpl w:val="646260FA"/>
    <w:lvl w:ilvl="0" w:tentative="0">
      <w:start w:val="1"/>
      <w:numFmt w:val="decimal"/>
      <w:pStyle w:val="16"/>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8">
    <w:nsid w:val="6CEA2025"/>
    <w:multiLevelType w:val="multilevel"/>
    <w:tmpl w:val="6CEA2025"/>
    <w:lvl w:ilvl="0" w:tentative="0">
      <w:start w:val="1"/>
      <w:numFmt w:val="none"/>
      <w:pStyle w:val="50"/>
      <w:suff w:val="nothing"/>
      <w:lvlText w:val="%1"/>
      <w:lvlJc w:val="left"/>
      <w:pPr>
        <w:ind w:left="0" w:firstLine="0"/>
      </w:pPr>
      <w:rPr>
        <w:rFonts w:hint="eastAsia"/>
      </w:rPr>
    </w:lvl>
    <w:lvl w:ilvl="1" w:tentative="0">
      <w:start w:val="1"/>
      <w:numFmt w:val="decimal"/>
      <w:pStyle w:val="47"/>
      <w:suff w:val="nothing"/>
      <w:lvlText w:val="%1%2　"/>
      <w:lvlJc w:val="left"/>
      <w:pPr>
        <w:ind w:left="0" w:firstLine="0"/>
      </w:pPr>
      <w:rPr>
        <w:rFonts w:hint="eastAsia" w:ascii="黑体" w:eastAsia="黑体"/>
        <w:b w:val="0"/>
        <w:i w:val="0"/>
        <w:sz w:val="21"/>
      </w:rPr>
    </w:lvl>
    <w:lvl w:ilvl="2" w:tentative="0">
      <w:start w:val="1"/>
      <w:numFmt w:val="decimal"/>
      <w:pStyle w:val="48"/>
      <w:suff w:val="nothing"/>
      <w:lvlText w:val="%1%2.%3　"/>
      <w:lvlJc w:val="left"/>
      <w:pPr>
        <w:ind w:left="85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43"/>
      <w:suff w:val="nothing"/>
      <w:lvlText w:val="%1%2.%3.%4　"/>
      <w:lvlJc w:val="left"/>
      <w:pPr>
        <w:ind w:left="850" w:firstLine="0"/>
      </w:pPr>
      <w:rPr>
        <w:rFonts w:hint="eastAsia" w:ascii="黑体" w:eastAsia="黑体"/>
        <w:b w:val="0"/>
        <w:i w:val="0"/>
        <w:sz w:val="21"/>
      </w:rPr>
    </w:lvl>
    <w:lvl w:ilvl="4" w:tentative="0">
      <w:start w:val="1"/>
      <w:numFmt w:val="decimal"/>
      <w:pStyle w:val="44"/>
      <w:suff w:val="nothing"/>
      <w:lvlText w:val="%1%2.%3.%4.%5　"/>
      <w:lvlJc w:val="left"/>
      <w:pPr>
        <w:ind w:left="0" w:firstLine="0"/>
      </w:pPr>
      <w:rPr>
        <w:rFonts w:hint="eastAsia" w:ascii="黑体" w:eastAsia="黑体"/>
        <w:b w:val="0"/>
        <w:i w:val="0"/>
        <w:sz w:val="21"/>
      </w:rPr>
    </w:lvl>
    <w:lvl w:ilvl="5" w:tentative="0">
      <w:start w:val="1"/>
      <w:numFmt w:val="decimal"/>
      <w:pStyle w:val="45"/>
      <w:suff w:val="nothing"/>
      <w:lvlText w:val="%1%2.%3.%4.%5.%6　"/>
      <w:lvlJc w:val="left"/>
      <w:pPr>
        <w:ind w:left="0" w:firstLine="0"/>
      </w:pPr>
      <w:rPr>
        <w:rFonts w:hint="eastAsia" w:ascii="黑体" w:eastAsia="黑体"/>
        <w:b w:val="0"/>
        <w:i w:val="0"/>
        <w:sz w:val="21"/>
      </w:rPr>
    </w:lvl>
    <w:lvl w:ilvl="6" w:tentative="0">
      <w:start w:val="1"/>
      <w:numFmt w:val="decimal"/>
      <w:pStyle w:val="46"/>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9">
    <w:nsid w:val="755B69E5"/>
    <w:multiLevelType w:val="multilevel"/>
    <w:tmpl w:val="755B69E5"/>
    <w:lvl w:ilvl="0" w:tentative="0">
      <w:start w:val="1"/>
      <w:numFmt w:val="decimal"/>
      <w:lvlText w:val="%1、"/>
      <w:lvlJc w:val="left"/>
      <w:pPr>
        <w:ind w:left="1132" w:hanging="492"/>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7"/>
  </w:num>
  <w:num w:numId="2">
    <w:abstractNumId w:val="5"/>
  </w:num>
  <w:num w:numId="3">
    <w:abstractNumId w:val="3"/>
  </w:num>
  <w:num w:numId="4">
    <w:abstractNumId w:val="0"/>
  </w:num>
  <w:num w:numId="5">
    <w:abstractNumId w:val="4"/>
  </w:num>
  <w:num w:numId="6">
    <w:abstractNumId w:val="2"/>
  </w:num>
  <w:num w:numId="7">
    <w:abstractNumId w:val="1"/>
  </w:num>
  <w:num w:numId="8">
    <w:abstractNumId w:val="6"/>
  </w:num>
  <w:num w:numId="9">
    <w:abstractNumId w:val="8"/>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062E"/>
    <w:rsid w:val="0000457E"/>
    <w:rsid w:val="00005CA4"/>
    <w:rsid w:val="000107BC"/>
    <w:rsid w:val="00013090"/>
    <w:rsid w:val="00016837"/>
    <w:rsid w:val="00021331"/>
    <w:rsid w:val="00023119"/>
    <w:rsid w:val="00023FE2"/>
    <w:rsid w:val="00024212"/>
    <w:rsid w:val="00024664"/>
    <w:rsid w:val="00032CD6"/>
    <w:rsid w:val="00033257"/>
    <w:rsid w:val="00034233"/>
    <w:rsid w:val="00034BDB"/>
    <w:rsid w:val="00037FB0"/>
    <w:rsid w:val="00047D7B"/>
    <w:rsid w:val="00050A68"/>
    <w:rsid w:val="00053B0B"/>
    <w:rsid w:val="000571B6"/>
    <w:rsid w:val="000576D0"/>
    <w:rsid w:val="00057758"/>
    <w:rsid w:val="00060FE2"/>
    <w:rsid w:val="0007330D"/>
    <w:rsid w:val="00073F72"/>
    <w:rsid w:val="00074EB1"/>
    <w:rsid w:val="00076BBA"/>
    <w:rsid w:val="00080F2F"/>
    <w:rsid w:val="0008145A"/>
    <w:rsid w:val="0009177A"/>
    <w:rsid w:val="00091F52"/>
    <w:rsid w:val="00093E74"/>
    <w:rsid w:val="000962F6"/>
    <w:rsid w:val="000975BB"/>
    <w:rsid w:val="000A0201"/>
    <w:rsid w:val="000A1EAE"/>
    <w:rsid w:val="000A3070"/>
    <w:rsid w:val="000A4601"/>
    <w:rsid w:val="000A77CD"/>
    <w:rsid w:val="000B471A"/>
    <w:rsid w:val="000B572A"/>
    <w:rsid w:val="000D0ACE"/>
    <w:rsid w:val="000D15BE"/>
    <w:rsid w:val="000D5AC8"/>
    <w:rsid w:val="000D6612"/>
    <w:rsid w:val="000D751C"/>
    <w:rsid w:val="000D7F33"/>
    <w:rsid w:val="000F10EB"/>
    <w:rsid w:val="000F3365"/>
    <w:rsid w:val="000F517A"/>
    <w:rsid w:val="001012D5"/>
    <w:rsid w:val="00101D2E"/>
    <w:rsid w:val="00103B83"/>
    <w:rsid w:val="00105252"/>
    <w:rsid w:val="001062E3"/>
    <w:rsid w:val="00106661"/>
    <w:rsid w:val="0010769F"/>
    <w:rsid w:val="00110864"/>
    <w:rsid w:val="00110F43"/>
    <w:rsid w:val="00112415"/>
    <w:rsid w:val="00113B53"/>
    <w:rsid w:val="00114946"/>
    <w:rsid w:val="00122573"/>
    <w:rsid w:val="00126CA6"/>
    <w:rsid w:val="001273E7"/>
    <w:rsid w:val="00127EB0"/>
    <w:rsid w:val="00131B03"/>
    <w:rsid w:val="00132C5F"/>
    <w:rsid w:val="00133786"/>
    <w:rsid w:val="00134DD4"/>
    <w:rsid w:val="00136F84"/>
    <w:rsid w:val="001435D3"/>
    <w:rsid w:val="001449B5"/>
    <w:rsid w:val="001463AC"/>
    <w:rsid w:val="0015152A"/>
    <w:rsid w:val="00156020"/>
    <w:rsid w:val="00156663"/>
    <w:rsid w:val="001611BB"/>
    <w:rsid w:val="00167167"/>
    <w:rsid w:val="001708F8"/>
    <w:rsid w:val="00174738"/>
    <w:rsid w:val="0018112C"/>
    <w:rsid w:val="00183467"/>
    <w:rsid w:val="00190A64"/>
    <w:rsid w:val="00190C6A"/>
    <w:rsid w:val="00191774"/>
    <w:rsid w:val="00191DCE"/>
    <w:rsid w:val="001923CF"/>
    <w:rsid w:val="001925FD"/>
    <w:rsid w:val="001930A1"/>
    <w:rsid w:val="00194FE3"/>
    <w:rsid w:val="00196054"/>
    <w:rsid w:val="0019711F"/>
    <w:rsid w:val="001A0DBF"/>
    <w:rsid w:val="001A3402"/>
    <w:rsid w:val="001B0E92"/>
    <w:rsid w:val="001B2A31"/>
    <w:rsid w:val="001B36E5"/>
    <w:rsid w:val="001B3B17"/>
    <w:rsid w:val="001C5645"/>
    <w:rsid w:val="001C5F01"/>
    <w:rsid w:val="001C793C"/>
    <w:rsid w:val="001D22F0"/>
    <w:rsid w:val="001D64DB"/>
    <w:rsid w:val="001D7816"/>
    <w:rsid w:val="001E5000"/>
    <w:rsid w:val="001F07A8"/>
    <w:rsid w:val="001F16E6"/>
    <w:rsid w:val="001F241E"/>
    <w:rsid w:val="001F537A"/>
    <w:rsid w:val="001F660A"/>
    <w:rsid w:val="001F79F5"/>
    <w:rsid w:val="001F7E35"/>
    <w:rsid w:val="00205603"/>
    <w:rsid w:val="00210916"/>
    <w:rsid w:val="002116FB"/>
    <w:rsid w:val="00213F37"/>
    <w:rsid w:val="00214221"/>
    <w:rsid w:val="0021554B"/>
    <w:rsid w:val="00217683"/>
    <w:rsid w:val="002223DD"/>
    <w:rsid w:val="002231E8"/>
    <w:rsid w:val="00223EB7"/>
    <w:rsid w:val="00224EB8"/>
    <w:rsid w:val="00231E62"/>
    <w:rsid w:val="00232769"/>
    <w:rsid w:val="00244ADA"/>
    <w:rsid w:val="00244C0C"/>
    <w:rsid w:val="002465C7"/>
    <w:rsid w:val="002526F3"/>
    <w:rsid w:val="00254F7A"/>
    <w:rsid w:val="002557AD"/>
    <w:rsid w:val="00256FE0"/>
    <w:rsid w:val="002614C6"/>
    <w:rsid w:val="002621E1"/>
    <w:rsid w:val="00262753"/>
    <w:rsid w:val="00262771"/>
    <w:rsid w:val="00262F6C"/>
    <w:rsid w:val="00264A7D"/>
    <w:rsid w:val="00264CE4"/>
    <w:rsid w:val="002651A9"/>
    <w:rsid w:val="00266090"/>
    <w:rsid w:val="0027235B"/>
    <w:rsid w:val="00283085"/>
    <w:rsid w:val="00283E25"/>
    <w:rsid w:val="0029084D"/>
    <w:rsid w:val="00291D7F"/>
    <w:rsid w:val="00291EF3"/>
    <w:rsid w:val="002952AC"/>
    <w:rsid w:val="002A2FCF"/>
    <w:rsid w:val="002A4D06"/>
    <w:rsid w:val="002A5D80"/>
    <w:rsid w:val="002B07E3"/>
    <w:rsid w:val="002B23AB"/>
    <w:rsid w:val="002B2E35"/>
    <w:rsid w:val="002B3D69"/>
    <w:rsid w:val="002B5497"/>
    <w:rsid w:val="002C1D2A"/>
    <w:rsid w:val="002C4FFB"/>
    <w:rsid w:val="002C5534"/>
    <w:rsid w:val="002C611B"/>
    <w:rsid w:val="002C73B6"/>
    <w:rsid w:val="002D20B5"/>
    <w:rsid w:val="002D49CC"/>
    <w:rsid w:val="002D6D1E"/>
    <w:rsid w:val="002E073F"/>
    <w:rsid w:val="002E7467"/>
    <w:rsid w:val="002E7A35"/>
    <w:rsid w:val="002F34AA"/>
    <w:rsid w:val="002F4B59"/>
    <w:rsid w:val="002F4D7B"/>
    <w:rsid w:val="002F513F"/>
    <w:rsid w:val="002F613B"/>
    <w:rsid w:val="003025DF"/>
    <w:rsid w:val="00303553"/>
    <w:rsid w:val="00303E23"/>
    <w:rsid w:val="00304BFD"/>
    <w:rsid w:val="00306925"/>
    <w:rsid w:val="0031011D"/>
    <w:rsid w:val="003144B8"/>
    <w:rsid w:val="00314640"/>
    <w:rsid w:val="00327623"/>
    <w:rsid w:val="00332C9C"/>
    <w:rsid w:val="0033375C"/>
    <w:rsid w:val="0034090F"/>
    <w:rsid w:val="00343C24"/>
    <w:rsid w:val="00345BCC"/>
    <w:rsid w:val="00353735"/>
    <w:rsid w:val="003543C3"/>
    <w:rsid w:val="00354D06"/>
    <w:rsid w:val="00356D19"/>
    <w:rsid w:val="00357A1D"/>
    <w:rsid w:val="00357E18"/>
    <w:rsid w:val="0036001E"/>
    <w:rsid w:val="00360952"/>
    <w:rsid w:val="00362F10"/>
    <w:rsid w:val="00365252"/>
    <w:rsid w:val="00372A01"/>
    <w:rsid w:val="00372C98"/>
    <w:rsid w:val="00373BAD"/>
    <w:rsid w:val="00374390"/>
    <w:rsid w:val="003754CF"/>
    <w:rsid w:val="00377B7F"/>
    <w:rsid w:val="00381596"/>
    <w:rsid w:val="00381796"/>
    <w:rsid w:val="00382AB2"/>
    <w:rsid w:val="00386647"/>
    <w:rsid w:val="00391984"/>
    <w:rsid w:val="00392CDF"/>
    <w:rsid w:val="00392E22"/>
    <w:rsid w:val="00393AE1"/>
    <w:rsid w:val="00396025"/>
    <w:rsid w:val="003B2F32"/>
    <w:rsid w:val="003B5050"/>
    <w:rsid w:val="003B729F"/>
    <w:rsid w:val="003C2D44"/>
    <w:rsid w:val="003C483D"/>
    <w:rsid w:val="003D3AF0"/>
    <w:rsid w:val="003D48B6"/>
    <w:rsid w:val="003D51D0"/>
    <w:rsid w:val="003D5CB5"/>
    <w:rsid w:val="003D6E58"/>
    <w:rsid w:val="003E330B"/>
    <w:rsid w:val="003E4A86"/>
    <w:rsid w:val="003F284D"/>
    <w:rsid w:val="003F28D0"/>
    <w:rsid w:val="003F3119"/>
    <w:rsid w:val="003F392A"/>
    <w:rsid w:val="003F3AAC"/>
    <w:rsid w:val="003F727B"/>
    <w:rsid w:val="0040035D"/>
    <w:rsid w:val="00403F64"/>
    <w:rsid w:val="00404BD1"/>
    <w:rsid w:val="00404F40"/>
    <w:rsid w:val="004050BE"/>
    <w:rsid w:val="0040610D"/>
    <w:rsid w:val="00406A80"/>
    <w:rsid w:val="00414BF2"/>
    <w:rsid w:val="0042062E"/>
    <w:rsid w:val="00424AF1"/>
    <w:rsid w:val="00424FCB"/>
    <w:rsid w:val="00425860"/>
    <w:rsid w:val="00427B81"/>
    <w:rsid w:val="00434E46"/>
    <w:rsid w:val="00434F90"/>
    <w:rsid w:val="004378E4"/>
    <w:rsid w:val="0044118D"/>
    <w:rsid w:val="004431A7"/>
    <w:rsid w:val="004441BD"/>
    <w:rsid w:val="004503F4"/>
    <w:rsid w:val="0045483D"/>
    <w:rsid w:val="00455661"/>
    <w:rsid w:val="0046025A"/>
    <w:rsid w:val="00460359"/>
    <w:rsid w:val="004605D8"/>
    <w:rsid w:val="004626AF"/>
    <w:rsid w:val="00465230"/>
    <w:rsid w:val="00467DEF"/>
    <w:rsid w:val="004715D8"/>
    <w:rsid w:val="004805D0"/>
    <w:rsid w:val="00480BA1"/>
    <w:rsid w:val="004814A9"/>
    <w:rsid w:val="0048357F"/>
    <w:rsid w:val="00484EF3"/>
    <w:rsid w:val="00484F0C"/>
    <w:rsid w:val="00485212"/>
    <w:rsid w:val="004865C9"/>
    <w:rsid w:val="0049011A"/>
    <w:rsid w:val="00491FE3"/>
    <w:rsid w:val="0049241F"/>
    <w:rsid w:val="0049390C"/>
    <w:rsid w:val="00495BD4"/>
    <w:rsid w:val="004A25C4"/>
    <w:rsid w:val="004A2878"/>
    <w:rsid w:val="004A36D7"/>
    <w:rsid w:val="004A614E"/>
    <w:rsid w:val="004A660C"/>
    <w:rsid w:val="004A76AB"/>
    <w:rsid w:val="004B2E7F"/>
    <w:rsid w:val="004C4136"/>
    <w:rsid w:val="004D155D"/>
    <w:rsid w:val="004D2302"/>
    <w:rsid w:val="004D5B22"/>
    <w:rsid w:val="004E3026"/>
    <w:rsid w:val="004F0593"/>
    <w:rsid w:val="004F0A7B"/>
    <w:rsid w:val="004F48C2"/>
    <w:rsid w:val="004F74F0"/>
    <w:rsid w:val="004F7FA9"/>
    <w:rsid w:val="005009D1"/>
    <w:rsid w:val="0050156A"/>
    <w:rsid w:val="00505469"/>
    <w:rsid w:val="005066ED"/>
    <w:rsid w:val="005067C2"/>
    <w:rsid w:val="0051028F"/>
    <w:rsid w:val="0051148B"/>
    <w:rsid w:val="00513080"/>
    <w:rsid w:val="00514C97"/>
    <w:rsid w:val="005159F5"/>
    <w:rsid w:val="00526200"/>
    <w:rsid w:val="005269CF"/>
    <w:rsid w:val="00533886"/>
    <w:rsid w:val="0053418A"/>
    <w:rsid w:val="00535AC6"/>
    <w:rsid w:val="00537550"/>
    <w:rsid w:val="0054317B"/>
    <w:rsid w:val="00546DEA"/>
    <w:rsid w:val="005538B6"/>
    <w:rsid w:val="00556EB3"/>
    <w:rsid w:val="005639F8"/>
    <w:rsid w:val="005656AA"/>
    <w:rsid w:val="005742DB"/>
    <w:rsid w:val="00577C08"/>
    <w:rsid w:val="005802BD"/>
    <w:rsid w:val="0058151C"/>
    <w:rsid w:val="00581CE7"/>
    <w:rsid w:val="00582F5C"/>
    <w:rsid w:val="00583670"/>
    <w:rsid w:val="0058472C"/>
    <w:rsid w:val="005870E5"/>
    <w:rsid w:val="005873D6"/>
    <w:rsid w:val="005876DE"/>
    <w:rsid w:val="00596702"/>
    <w:rsid w:val="00597FDE"/>
    <w:rsid w:val="005A1A17"/>
    <w:rsid w:val="005A4523"/>
    <w:rsid w:val="005A4707"/>
    <w:rsid w:val="005B0CDC"/>
    <w:rsid w:val="005B23F7"/>
    <w:rsid w:val="005B7128"/>
    <w:rsid w:val="005B76D5"/>
    <w:rsid w:val="005B7B7E"/>
    <w:rsid w:val="005C468E"/>
    <w:rsid w:val="005D06D6"/>
    <w:rsid w:val="005D1EE1"/>
    <w:rsid w:val="005D2762"/>
    <w:rsid w:val="005D2AEE"/>
    <w:rsid w:val="005D3F96"/>
    <w:rsid w:val="005D5DDF"/>
    <w:rsid w:val="005D6A5C"/>
    <w:rsid w:val="005E05D4"/>
    <w:rsid w:val="005E207A"/>
    <w:rsid w:val="005E2143"/>
    <w:rsid w:val="005F0995"/>
    <w:rsid w:val="005F1E35"/>
    <w:rsid w:val="005F36D9"/>
    <w:rsid w:val="005F4F92"/>
    <w:rsid w:val="005F6C71"/>
    <w:rsid w:val="005F71EC"/>
    <w:rsid w:val="005F7613"/>
    <w:rsid w:val="006062AE"/>
    <w:rsid w:val="0060656D"/>
    <w:rsid w:val="00606B5A"/>
    <w:rsid w:val="00610884"/>
    <w:rsid w:val="00614347"/>
    <w:rsid w:val="006147DA"/>
    <w:rsid w:val="0062702A"/>
    <w:rsid w:val="00636DF8"/>
    <w:rsid w:val="006404F1"/>
    <w:rsid w:val="0064449B"/>
    <w:rsid w:val="00644EED"/>
    <w:rsid w:val="006467C4"/>
    <w:rsid w:val="00651C9C"/>
    <w:rsid w:val="00654D8C"/>
    <w:rsid w:val="006555D8"/>
    <w:rsid w:val="00655638"/>
    <w:rsid w:val="006574C5"/>
    <w:rsid w:val="006610FC"/>
    <w:rsid w:val="0066440C"/>
    <w:rsid w:val="00664832"/>
    <w:rsid w:val="006670DB"/>
    <w:rsid w:val="00667C57"/>
    <w:rsid w:val="006748FE"/>
    <w:rsid w:val="0067586A"/>
    <w:rsid w:val="00680EEB"/>
    <w:rsid w:val="006811BF"/>
    <w:rsid w:val="00681C0F"/>
    <w:rsid w:val="00682D7C"/>
    <w:rsid w:val="00682FAD"/>
    <w:rsid w:val="0068494D"/>
    <w:rsid w:val="00690D6C"/>
    <w:rsid w:val="006945D3"/>
    <w:rsid w:val="006A1BD7"/>
    <w:rsid w:val="006A3112"/>
    <w:rsid w:val="006B1080"/>
    <w:rsid w:val="006B6EA3"/>
    <w:rsid w:val="006C0CC1"/>
    <w:rsid w:val="006C6B87"/>
    <w:rsid w:val="006C70ED"/>
    <w:rsid w:val="006D4B56"/>
    <w:rsid w:val="006D4CCC"/>
    <w:rsid w:val="006D5D5F"/>
    <w:rsid w:val="006E155C"/>
    <w:rsid w:val="006E65EC"/>
    <w:rsid w:val="006E7520"/>
    <w:rsid w:val="006F03ED"/>
    <w:rsid w:val="006F67E6"/>
    <w:rsid w:val="006F77F7"/>
    <w:rsid w:val="00700D32"/>
    <w:rsid w:val="0070138D"/>
    <w:rsid w:val="00701A2B"/>
    <w:rsid w:val="0070266E"/>
    <w:rsid w:val="00705429"/>
    <w:rsid w:val="0070730B"/>
    <w:rsid w:val="00712BC5"/>
    <w:rsid w:val="00715CA4"/>
    <w:rsid w:val="00716EAC"/>
    <w:rsid w:val="00720395"/>
    <w:rsid w:val="00722AAE"/>
    <w:rsid w:val="0072448B"/>
    <w:rsid w:val="007245EF"/>
    <w:rsid w:val="00726016"/>
    <w:rsid w:val="00726F82"/>
    <w:rsid w:val="0073320F"/>
    <w:rsid w:val="007432F4"/>
    <w:rsid w:val="0075401E"/>
    <w:rsid w:val="00755471"/>
    <w:rsid w:val="007556A8"/>
    <w:rsid w:val="00756686"/>
    <w:rsid w:val="00760849"/>
    <w:rsid w:val="00760DDA"/>
    <w:rsid w:val="00760FBD"/>
    <w:rsid w:val="007700E4"/>
    <w:rsid w:val="007768A2"/>
    <w:rsid w:val="00776FE6"/>
    <w:rsid w:val="007812EA"/>
    <w:rsid w:val="00781F1A"/>
    <w:rsid w:val="00782C84"/>
    <w:rsid w:val="00784D8F"/>
    <w:rsid w:val="007902FD"/>
    <w:rsid w:val="00790759"/>
    <w:rsid w:val="007912E9"/>
    <w:rsid w:val="007923BD"/>
    <w:rsid w:val="00793820"/>
    <w:rsid w:val="00797654"/>
    <w:rsid w:val="00797B14"/>
    <w:rsid w:val="007A022B"/>
    <w:rsid w:val="007A1A73"/>
    <w:rsid w:val="007A36E9"/>
    <w:rsid w:val="007A4FEA"/>
    <w:rsid w:val="007A5B26"/>
    <w:rsid w:val="007A710B"/>
    <w:rsid w:val="007B0B70"/>
    <w:rsid w:val="007B317A"/>
    <w:rsid w:val="007B4614"/>
    <w:rsid w:val="007B7812"/>
    <w:rsid w:val="007C11E0"/>
    <w:rsid w:val="007C3308"/>
    <w:rsid w:val="007C43E1"/>
    <w:rsid w:val="007C4C1F"/>
    <w:rsid w:val="007D1773"/>
    <w:rsid w:val="007D3096"/>
    <w:rsid w:val="007D4356"/>
    <w:rsid w:val="007D520B"/>
    <w:rsid w:val="007D5225"/>
    <w:rsid w:val="007D6192"/>
    <w:rsid w:val="007D646F"/>
    <w:rsid w:val="007D6A43"/>
    <w:rsid w:val="007E0035"/>
    <w:rsid w:val="007E14A0"/>
    <w:rsid w:val="007F05BA"/>
    <w:rsid w:val="007F1688"/>
    <w:rsid w:val="007F17C2"/>
    <w:rsid w:val="007F3051"/>
    <w:rsid w:val="007F445F"/>
    <w:rsid w:val="007F69C4"/>
    <w:rsid w:val="00800158"/>
    <w:rsid w:val="00800C49"/>
    <w:rsid w:val="00805B1A"/>
    <w:rsid w:val="00812666"/>
    <w:rsid w:val="00816354"/>
    <w:rsid w:val="00825BEF"/>
    <w:rsid w:val="008275DE"/>
    <w:rsid w:val="0083025F"/>
    <w:rsid w:val="00830EF6"/>
    <w:rsid w:val="00831A4E"/>
    <w:rsid w:val="00834158"/>
    <w:rsid w:val="008346DB"/>
    <w:rsid w:val="00834F29"/>
    <w:rsid w:val="00837133"/>
    <w:rsid w:val="00841FDD"/>
    <w:rsid w:val="00843099"/>
    <w:rsid w:val="00844A63"/>
    <w:rsid w:val="00845B6B"/>
    <w:rsid w:val="0085555C"/>
    <w:rsid w:val="0085722C"/>
    <w:rsid w:val="008572D0"/>
    <w:rsid w:val="00860076"/>
    <w:rsid w:val="00861CE1"/>
    <w:rsid w:val="00864B42"/>
    <w:rsid w:val="00864EDC"/>
    <w:rsid w:val="008717FD"/>
    <w:rsid w:val="00872085"/>
    <w:rsid w:val="0087311E"/>
    <w:rsid w:val="008766A7"/>
    <w:rsid w:val="0088023F"/>
    <w:rsid w:val="00884AB2"/>
    <w:rsid w:val="008853E8"/>
    <w:rsid w:val="00890B67"/>
    <w:rsid w:val="00893361"/>
    <w:rsid w:val="00893A8E"/>
    <w:rsid w:val="00893CE3"/>
    <w:rsid w:val="008941F8"/>
    <w:rsid w:val="00895044"/>
    <w:rsid w:val="0089639E"/>
    <w:rsid w:val="0089684C"/>
    <w:rsid w:val="008A328F"/>
    <w:rsid w:val="008A42EB"/>
    <w:rsid w:val="008A4E58"/>
    <w:rsid w:val="008A5709"/>
    <w:rsid w:val="008A5D29"/>
    <w:rsid w:val="008B041D"/>
    <w:rsid w:val="008B1A6F"/>
    <w:rsid w:val="008B35DA"/>
    <w:rsid w:val="008B6562"/>
    <w:rsid w:val="008B7C56"/>
    <w:rsid w:val="008C1BE0"/>
    <w:rsid w:val="008C1C27"/>
    <w:rsid w:val="008C5328"/>
    <w:rsid w:val="008C6844"/>
    <w:rsid w:val="008D1502"/>
    <w:rsid w:val="008D2E6B"/>
    <w:rsid w:val="008D3059"/>
    <w:rsid w:val="008D44E2"/>
    <w:rsid w:val="008D5C1F"/>
    <w:rsid w:val="008D612C"/>
    <w:rsid w:val="008E0C90"/>
    <w:rsid w:val="008E340A"/>
    <w:rsid w:val="008F024A"/>
    <w:rsid w:val="008F4CD3"/>
    <w:rsid w:val="008F4CE0"/>
    <w:rsid w:val="008F62FB"/>
    <w:rsid w:val="00900B1D"/>
    <w:rsid w:val="00901C67"/>
    <w:rsid w:val="009058DF"/>
    <w:rsid w:val="00910D7C"/>
    <w:rsid w:val="00910E34"/>
    <w:rsid w:val="00911CE5"/>
    <w:rsid w:val="009133CD"/>
    <w:rsid w:val="0091490C"/>
    <w:rsid w:val="00916204"/>
    <w:rsid w:val="0091746E"/>
    <w:rsid w:val="009204DB"/>
    <w:rsid w:val="009206E4"/>
    <w:rsid w:val="0092128F"/>
    <w:rsid w:val="00922063"/>
    <w:rsid w:val="009220D3"/>
    <w:rsid w:val="009226F2"/>
    <w:rsid w:val="0092288A"/>
    <w:rsid w:val="00926314"/>
    <w:rsid w:val="00930317"/>
    <w:rsid w:val="00933333"/>
    <w:rsid w:val="009334E3"/>
    <w:rsid w:val="0093364F"/>
    <w:rsid w:val="00934E57"/>
    <w:rsid w:val="00936A0A"/>
    <w:rsid w:val="00940C47"/>
    <w:rsid w:val="00944176"/>
    <w:rsid w:val="0094724D"/>
    <w:rsid w:val="00947BC7"/>
    <w:rsid w:val="009510ED"/>
    <w:rsid w:val="00954E13"/>
    <w:rsid w:val="00955098"/>
    <w:rsid w:val="00962A6D"/>
    <w:rsid w:val="009642C6"/>
    <w:rsid w:val="0096452B"/>
    <w:rsid w:val="00973287"/>
    <w:rsid w:val="00975377"/>
    <w:rsid w:val="0097752F"/>
    <w:rsid w:val="00980E2D"/>
    <w:rsid w:val="00981308"/>
    <w:rsid w:val="00983CDC"/>
    <w:rsid w:val="00983E62"/>
    <w:rsid w:val="00984743"/>
    <w:rsid w:val="00985D99"/>
    <w:rsid w:val="00987A4E"/>
    <w:rsid w:val="00987C57"/>
    <w:rsid w:val="0099188F"/>
    <w:rsid w:val="00993328"/>
    <w:rsid w:val="00995822"/>
    <w:rsid w:val="00997A44"/>
    <w:rsid w:val="009A1FC7"/>
    <w:rsid w:val="009A7254"/>
    <w:rsid w:val="009B115B"/>
    <w:rsid w:val="009B2BF4"/>
    <w:rsid w:val="009B52A3"/>
    <w:rsid w:val="009B53BA"/>
    <w:rsid w:val="009B609B"/>
    <w:rsid w:val="009B6F4E"/>
    <w:rsid w:val="009B6FA5"/>
    <w:rsid w:val="009B74CD"/>
    <w:rsid w:val="009D1F6F"/>
    <w:rsid w:val="009D38DB"/>
    <w:rsid w:val="009D3D0A"/>
    <w:rsid w:val="009D628E"/>
    <w:rsid w:val="009D62DE"/>
    <w:rsid w:val="009E1F06"/>
    <w:rsid w:val="009E5DEF"/>
    <w:rsid w:val="009E6B6B"/>
    <w:rsid w:val="009F1239"/>
    <w:rsid w:val="009F3B36"/>
    <w:rsid w:val="009F70AB"/>
    <w:rsid w:val="009F79E3"/>
    <w:rsid w:val="00A01A52"/>
    <w:rsid w:val="00A02A0A"/>
    <w:rsid w:val="00A04717"/>
    <w:rsid w:val="00A04E49"/>
    <w:rsid w:val="00A05253"/>
    <w:rsid w:val="00A10236"/>
    <w:rsid w:val="00A10A41"/>
    <w:rsid w:val="00A10B7E"/>
    <w:rsid w:val="00A11E9D"/>
    <w:rsid w:val="00A1598C"/>
    <w:rsid w:val="00A15EDE"/>
    <w:rsid w:val="00A163CB"/>
    <w:rsid w:val="00A17F66"/>
    <w:rsid w:val="00A24789"/>
    <w:rsid w:val="00A25268"/>
    <w:rsid w:val="00A30FCE"/>
    <w:rsid w:val="00A34924"/>
    <w:rsid w:val="00A35F3F"/>
    <w:rsid w:val="00A361DA"/>
    <w:rsid w:val="00A40234"/>
    <w:rsid w:val="00A4496C"/>
    <w:rsid w:val="00A51BDA"/>
    <w:rsid w:val="00A52FED"/>
    <w:rsid w:val="00A547EA"/>
    <w:rsid w:val="00A54EE3"/>
    <w:rsid w:val="00A60040"/>
    <w:rsid w:val="00A61125"/>
    <w:rsid w:val="00A64033"/>
    <w:rsid w:val="00A65635"/>
    <w:rsid w:val="00A66230"/>
    <w:rsid w:val="00A66B33"/>
    <w:rsid w:val="00A706DE"/>
    <w:rsid w:val="00A70BEA"/>
    <w:rsid w:val="00A7226B"/>
    <w:rsid w:val="00A7759C"/>
    <w:rsid w:val="00A77E2C"/>
    <w:rsid w:val="00A806B3"/>
    <w:rsid w:val="00A80E57"/>
    <w:rsid w:val="00A82337"/>
    <w:rsid w:val="00A90118"/>
    <w:rsid w:val="00A90821"/>
    <w:rsid w:val="00A928C5"/>
    <w:rsid w:val="00A92A84"/>
    <w:rsid w:val="00A94CCD"/>
    <w:rsid w:val="00A955A3"/>
    <w:rsid w:val="00A958C2"/>
    <w:rsid w:val="00A95C9E"/>
    <w:rsid w:val="00A96933"/>
    <w:rsid w:val="00A97D34"/>
    <w:rsid w:val="00AA175E"/>
    <w:rsid w:val="00AA1B3F"/>
    <w:rsid w:val="00AA565B"/>
    <w:rsid w:val="00AA6572"/>
    <w:rsid w:val="00AA6DE0"/>
    <w:rsid w:val="00AA7B7A"/>
    <w:rsid w:val="00AB0EDD"/>
    <w:rsid w:val="00AB238D"/>
    <w:rsid w:val="00AC39ED"/>
    <w:rsid w:val="00AC5DC1"/>
    <w:rsid w:val="00AD1275"/>
    <w:rsid w:val="00AD2F73"/>
    <w:rsid w:val="00AD56BA"/>
    <w:rsid w:val="00AE5941"/>
    <w:rsid w:val="00AE7E72"/>
    <w:rsid w:val="00AF00B0"/>
    <w:rsid w:val="00AF0B6E"/>
    <w:rsid w:val="00AF0C1B"/>
    <w:rsid w:val="00AF1152"/>
    <w:rsid w:val="00AF20DE"/>
    <w:rsid w:val="00AF2C7E"/>
    <w:rsid w:val="00AF337C"/>
    <w:rsid w:val="00AF365B"/>
    <w:rsid w:val="00AF3BC9"/>
    <w:rsid w:val="00B0152E"/>
    <w:rsid w:val="00B06BB7"/>
    <w:rsid w:val="00B06F77"/>
    <w:rsid w:val="00B17EA4"/>
    <w:rsid w:val="00B20474"/>
    <w:rsid w:val="00B22AB8"/>
    <w:rsid w:val="00B2401D"/>
    <w:rsid w:val="00B271E2"/>
    <w:rsid w:val="00B27F1E"/>
    <w:rsid w:val="00B320E0"/>
    <w:rsid w:val="00B32CF8"/>
    <w:rsid w:val="00B32D83"/>
    <w:rsid w:val="00B35A2B"/>
    <w:rsid w:val="00B37542"/>
    <w:rsid w:val="00B44C87"/>
    <w:rsid w:val="00B47772"/>
    <w:rsid w:val="00B50B21"/>
    <w:rsid w:val="00B525E7"/>
    <w:rsid w:val="00B5298A"/>
    <w:rsid w:val="00B52BC2"/>
    <w:rsid w:val="00B54B9E"/>
    <w:rsid w:val="00B5655B"/>
    <w:rsid w:val="00B602C0"/>
    <w:rsid w:val="00B639CC"/>
    <w:rsid w:val="00B65AA6"/>
    <w:rsid w:val="00B6770A"/>
    <w:rsid w:val="00B67A38"/>
    <w:rsid w:val="00B71B42"/>
    <w:rsid w:val="00B736AC"/>
    <w:rsid w:val="00B753D4"/>
    <w:rsid w:val="00B761FC"/>
    <w:rsid w:val="00B777DB"/>
    <w:rsid w:val="00B804DA"/>
    <w:rsid w:val="00B83BD4"/>
    <w:rsid w:val="00B873B1"/>
    <w:rsid w:val="00B8776E"/>
    <w:rsid w:val="00B91C42"/>
    <w:rsid w:val="00BB0ED6"/>
    <w:rsid w:val="00BB1C0A"/>
    <w:rsid w:val="00BB4376"/>
    <w:rsid w:val="00BB4A45"/>
    <w:rsid w:val="00BB4B74"/>
    <w:rsid w:val="00BB6FED"/>
    <w:rsid w:val="00BC41B2"/>
    <w:rsid w:val="00BC45B6"/>
    <w:rsid w:val="00BC4F9E"/>
    <w:rsid w:val="00BE0799"/>
    <w:rsid w:val="00BE26D9"/>
    <w:rsid w:val="00BF1119"/>
    <w:rsid w:val="00BF3E9B"/>
    <w:rsid w:val="00BF5510"/>
    <w:rsid w:val="00C00C31"/>
    <w:rsid w:val="00C070A2"/>
    <w:rsid w:val="00C10D37"/>
    <w:rsid w:val="00C13A0F"/>
    <w:rsid w:val="00C14C4A"/>
    <w:rsid w:val="00C166E8"/>
    <w:rsid w:val="00C17E66"/>
    <w:rsid w:val="00C22482"/>
    <w:rsid w:val="00C242A9"/>
    <w:rsid w:val="00C24D87"/>
    <w:rsid w:val="00C3032A"/>
    <w:rsid w:val="00C31C6D"/>
    <w:rsid w:val="00C31FF2"/>
    <w:rsid w:val="00C33C36"/>
    <w:rsid w:val="00C34E53"/>
    <w:rsid w:val="00C37264"/>
    <w:rsid w:val="00C408D1"/>
    <w:rsid w:val="00C44645"/>
    <w:rsid w:val="00C50A3F"/>
    <w:rsid w:val="00C51474"/>
    <w:rsid w:val="00C51847"/>
    <w:rsid w:val="00C528D4"/>
    <w:rsid w:val="00C55C36"/>
    <w:rsid w:val="00C61072"/>
    <w:rsid w:val="00C6137D"/>
    <w:rsid w:val="00C61540"/>
    <w:rsid w:val="00C61B0C"/>
    <w:rsid w:val="00C634E4"/>
    <w:rsid w:val="00C65985"/>
    <w:rsid w:val="00C67D4C"/>
    <w:rsid w:val="00C706FA"/>
    <w:rsid w:val="00C808FE"/>
    <w:rsid w:val="00C81D18"/>
    <w:rsid w:val="00C82258"/>
    <w:rsid w:val="00C82744"/>
    <w:rsid w:val="00C836D9"/>
    <w:rsid w:val="00C84109"/>
    <w:rsid w:val="00C843F0"/>
    <w:rsid w:val="00C85F66"/>
    <w:rsid w:val="00C95F0B"/>
    <w:rsid w:val="00C978BC"/>
    <w:rsid w:val="00CA0CFD"/>
    <w:rsid w:val="00CA37C8"/>
    <w:rsid w:val="00CA5047"/>
    <w:rsid w:val="00CA7C2A"/>
    <w:rsid w:val="00CB6A6F"/>
    <w:rsid w:val="00CC1221"/>
    <w:rsid w:val="00CC363A"/>
    <w:rsid w:val="00CC4EE7"/>
    <w:rsid w:val="00CD4CC6"/>
    <w:rsid w:val="00CD5C22"/>
    <w:rsid w:val="00CE363E"/>
    <w:rsid w:val="00CF1430"/>
    <w:rsid w:val="00CF1AE4"/>
    <w:rsid w:val="00CF24DF"/>
    <w:rsid w:val="00CF3531"/>
    <w:rsid w:val="00D0046C"/>
    <w:rsid w:val="00D00979"/>
    <w:rsid w:val="00D01E3B"/>
    <w:rsid w:val="00D05480"/>
    <w:rsid w:val="00D06EEA"/>
    <w:rsid w:val="00D07361"/>
    <w:rsid w:val="00D1055B"/>
    <w:rsid w:val="00D11946"/>
    <w:rsid w:val="00D14F71"/>
    <w:rsid w:val="00D15612"/>
    <w:rsid w:val="00D156E5"/>
    <w:rsid w:val="00D17A89"/>
    <w:rsid w:val="00D204BD"/>
    <w:rsid w:val="00D21619"/>
    <w:rsid w:val="00D21B1B"/>
    <w:rsid w:val="00D220B5"/>
    <w:rsid w:val="00D2548D"/>
    <w:rsid w:val="00D26063"/>
    <w:rsid w:val="00D30FB0"/>
    <w:rsid w:val="00D32832"/>
    <w:rsid w:val="00D33C76"/>
    <w:rsid w:val="00D34827"/>
    <w:rsid w:val="00D3642E"/>
    <w:rsid w:val="00D41F8D"/>
    <w:rsid w:val="00D451AB"/>
    <w:rsid w:val="00D4546D"/>
    <w:rsid w:val="00D50991"/>
    <w:rsid w:val="00D578AF"/>
    <w:rsid w:val="00D61DA0"/>
    <w:rsid w:val="00D64BD1"/>
    <w:rsid w:val="00D65D7A"/>
    <w:rsid w:val="00D6793A"/>
    <w:rsid w:val="00D7347C"/>
    <w:rsid w:val="00D74D7F"/>
    <w:rsid w:val="00D75348"/>
    <w:rsid w:val="00D80F6F"/>
    <w:rsid w:val="00D820E3"/>
    <w:rsid w:val="00D8299D"/>
    <w:rsid w:val="00D90304"/>
    <w:rsid w:val="00D9342C"/>
    <w:rsid w:val="00D944CB"/>
    <w:rsid w:val="00DA326B"/>
    <w:rsid w:val="00DA3BCE"/>
    <w:rsid w:val="00DA59FA"/>
    <w:rsid w:val="00DB1157"/>
    <w:rsid w:val="00DB295F"/>
    <w:rsid w:val="00DB29E4"/>
    <w:rsid w:val="00DB3826"/>
    <w:rsid w:val="00DB47DC"/>
    <w:rsid w:val="00DB74F2"/>
    <w:rsid w:val="00DC205C"/>
    <w:rsid w:val="00DC443A"/>
    <w:rsid w:val="00DC5687"/>
    <w:rsid w:val="00DC637F"/>
    <w:rsid w:val="00DC6575"/>
    <w:rsid w:val="00DC7A5D"/>
    <w:rsid w:val="00DD00EF"/>
    <w:rsid w:val="00DD1CF8"/>
    <w:rsid w:val="00DD6102"/>
    <w:rsid w:val="00DD71F1"/>
    <w:rsid w:val="00DE00C5"/>
    <w:rsid w:val="00DE3FB5"/>
    <w:rsid w:val="00DF2749"/>
    <w:rsid w:val="00DF60A6"/>
    <w:rsid w:val="00E00D0A"/>
    <w:rsid w:val="00E05B5A"/>
    <w:rsid w:val="00E05F1B"/>
    <w:rsid w:val="00E07B93"/>
    <w:rsid w:val="00E07E15"/>
    <w:rsid w:val="00E1354A"/>
    <w:rsid w:val="00E161F8"/>
    <w:rsid w:val="00E26EE5"/>
    <w:rsid w:val="00E32815"/>
    <w:rsid w:val="00E33554"/>
    <w:rsid w:val="00E40596"/>
    <w:rsid w:val="00E40BA9"/>
    <w:rsid w:val="00E41B77"/>
    <w:rsid w:val="00E45EC3"/>
    <w:rsid w:val="00E47C4F"/>
    <w:rsid w:val="00E541A3"/>
    <w:rsid w:val="00E637BB"/>
    <w:rsid w:val="00E638C8"/>
    <w:rsid w:val="00E658DD"/>
    <w:rsid w:val="00E65D7E"/>
    <w:rsid w:val="00E70383"/>
    <w:rsid w:val="00E7427C"/>
    <w:rsid w:val="00E75972"/>
    <w:rsid w:val="00E815D2"/>
    <w:rsid w:val="00E82204"/>
    <w:rsid w:val="00E8377B"/>
    <w:rsid w:val="00E83A77"/>
    <w:rsid w:val="00E8796C"/>
    <w:rsid w:val="00E90251"/>
    <w:rsid w:val="00E933C0"/>
    <w:rsid w:val="00E962B7"/>
    <w:rsid w:val="00E96877"/>
    <w:rsid w:val="00E978BF"/>
    <w:rsid w:val="00EA1188"/>
    <w:rsid w:val="00EA41D3"/>
    <w:rsid w:val="00EA6EB9"/>
    <w:rsid w:val="00EB0752"/>
    <w:rsid w:val="00EB0AE1"/>
    <w:rsid w:val="00EB1186"/>
    <w:rsid w:val="00EB77CC"/>
    <w:rsid w:val="00EC0997"/>
    <w:rsid w:val="00EC2EEF"/>
    <w:rsid w:val="00EC5DDD"/>
    <w:rsid w:val="00ED2F39"/>
    <w:rsid w:val="00ED30F4"/>
    <w:rsid w:val="00ED43BB"/>
    <w:rsid w:val="00ED449A"/>
    <w:rsid w:val="00ED68E9"/>
    <w:rsid w:val="00EE1FC2"/>
    <w:rsid w:val="00EF0F98"/>
    <w:rsid w:val="00EF670C"/>
    <w:rsid w:val="00EF7AFE"/>
    <w:rsid w:val="00F013FC"/>
    <w:rsid w:val="00F017AE"/>
    <w:rsid w:val="00F11F09"/>
    <w:rsid w:val="00F13232"/>
    <w:rsid w:val="00F1455B"/>
    <w:rsid w:val="00F16D36"/>
    <w:rsid w:val="00F210FD"/>
    <w:rsid w:val="00F21506"/>
    <w:rsid w:val="00F250D2"/>
    <w:rsid w:val="00F33087"/>
    <w:rsid w:val="00F350B2"/>
    <w:rsid w:val="00F351DA"/>
    <w:rsid w:val="00F372A2"/>
    <w:rsid w:val="00F4243D"/>
    <w:rsid w:val="00F42DB7"/>
    <w:rsid w:val="00F4304A"/>
    <w:rsid w:val="00F43155"/>
    <w:rsid w:val="00F44DA4"/>
    <w:rsid w:val="00F45BA7"/>
    <w:rsid w:val="00F45BE9"/>
    <w:rsid w:val="00F45CEB"/>
    <w:rsid w:val="00F46308"/>
    <w:rsid w:val="00F46BB6"/>
    <w:rsid w:val="00F46F4A"/>
    <w:rsid w:val="00F52CE1"/>
    <w:rsid w:val="00F54703"/>
    <w:rsid w:val="00F57917"/>
    <w:rsid w:val="00F60788"/>
    <w:rsid w:val="00F60F66"/>
    <w:rsid w:val="00F7063D"/>
    <w:rsid w:val="00F70C88"/>
    <w:rsid w:val="00F7168A"/>
    <w:rsid w:val="00F734AD"/>
    <w:rsid w:val="00F745D9"/>
    <w:rsid w:val="00F76618"/>
    <w:rsid w:val="00F76E42"/>
    <w:rsid w:val="00F81D1B"/>
    <w:rsid w:val="00F83492"/>
    <w:rsid w:val="00F83FBC"/>
    <w:rsid w:val="00F841A7"/>
    <w:rsid w:val="00F84292"/>
    <w:rsid w:val="00F85E04"/>
    <w:rsid w:val="00F864DA"/>
    <w:rsid w:val="00F9134D"/>
    <w:rsid w:val="00F916DA"/>
    <w:rsid w:val="00F92643"/>
    <w:rsid w:val="00F936B3"/>
    <w:rsid w:val="00F9712A"/>
    <w:rsid w:val="00F97F7D"/>
    <w:rsid w:val="00FA0333"/>
    <w:rsid w:val="00FA19D5"/>
    <w:rsid w:val="00FA2CBD"/>
    <w:rsid w:val="00FA3EE8"/>
    <w:rsid w:val="00FA6669"/>
    <w:rsid w:val="00FA7639"/>
    <w:rsid w:val="00FB3457"/>
    <w:rsid w:val="00FB3E2C"/>
    <w:rsid w:val="00FB695B"/>
    <w:rsid w:val="00FB6E56"/>
    <w:rsid w:val="00FC037E"/>
    <w:rsid w:val="00FC19B9"/>
    <w:rsid w:val="00FC4DE3"/>
    <w:rsid w:val="00FC6716"/>
    <w:rsid w:val="00FD00A5"/>
    <w:rsid w:val="00FD4B0F"/>
    <w:rsid w:val="00FE0661"/>
    <w:rsid w:val="00FF0C09"/>
    <w:rsid w:val="00FF1DD7"/>
    <w:rsid w:val="00FF3775"/>
    <w:rsid w:val="01AC2E1E"/>
    <w:rsid w:val="01AC3A93"/>
    <w:rsid w:val="01C963F3"/>
    <w:rsid w:val="01CE5D1C"/>
    <w:rsid w:val="022133DE"/>
    <w:rsid w:val="022E6257"/>
    <w:rsid w:val="02814120"/>
    <w:rsid w:val="039E595D"/>
    <w:rsid w:val="03D177E1"/>
    <w:rsid w:val="04A70542"/>
    <w:rsid w:val="05706B86"/>
    <w:rsid w:val="0620235A"/>
    <w:rsid w:val="070F07F6"/>
    <w:rsid w:val="071F0864"/>
    <w:rsid w:val="07E51AAD"/>
    <w:rsid w:val="08083403"/>
    <w:rsid w:val="09BE5E2A"/>
    <w:rsid w:val="09E71B0D"/>
    <w:rsid w:val="0A091F73"/>
    <w:rsid w:val="0A8504E9"/>
    <w:rsid w:val="0BCD4D32"/>
    <w:rsid w:val="0D1A3FA7"/>
    <w:rsid w:val="0D782A7C"/>
    <w:rsid w:val="0D92619C"/>
    <w:rsid w:val="0DE93979"/>
    <w:rsid w:val="0E0F1632"/>
    <w:rsid w:val="0E1A5616"/>
    <w:rsid w:val="0F412CA9"/>
    <w:rsid w:val="0FAD1102"/>
    <w:rsid w:val="0FD566D2"/>
    <w:rsid w:val="10D601E5"/>
    <w:rsid w:val="115455AE"/>
    <w:rsid w:val="13653AA2"/>
    <w:rsid w:val="13B2170D"/>
    <w:rsid w:val="13B97480"/>
    <w:rsid w:val="14034EB5"/>
    <w:rsid w:val="14870494"/>
    <w:rsid w:val="14A405FA"/>
    <w:rsid w:val="15085E8C"/>
    <w:rsid w:val="15174F60"/>
    <w:rsid w:val="1537321C"/>
    <w:rsid w:val="15455939"/>
    <w:rsid w:val="1556095A"/>
    <w:rsid w:val="15655FDB"/>
    <w:rsid w:val="15A5462A"/>
    <w:rsid w:val="15B14D7D"/>
    <w:rsid w:val="16005D04"/>
    <w:rsid w:val="167D7F24"/>
    <w:rsid w:val="16841867"/>
    <w:rsid w:val="17306AB5"/>
    <w:rsid w:val="17373F64"/>
    <w:rsid w:val="18F7519C"/>
    <w:rsid w:val="195F6D80"/>
    <w:rsid w:val="198033E4"/>
    <w:rsid w:val="19A054D6"/>
    <w:rsid w:val="19E51499"/>
    <w:rsid w:val="1A0C5FBC"/>
    <w:rsid w:val="1A1462EF"/>
    <w:rsid w:val="1B0717C8"/>
    <w:rsid w:val="1BD42A3E"/>
    <w:rsid w:val="1BDF5CE8"/>
    <w:rsid w:val="1BE33681"/>
    <w:rsid w:val="1D4806BC"/>
    <w:rsid w:val="1E37428D"/>
    <w:rsid w:val="20216FA3"/>
    <w:rsid w:val="20653288"/>
    <w:rsid w:val="21862EC6"/>
    <w:rsid w:val="220D77DF"/>
    <w:rsid w:val="2259630B"/>
    <w:rsid w:val="227A2520"/>
    <w:rsid w:val="22B1228B"/>
    <w:rsid w:val="22CC58EC"/>
    <w:rsid w:val="237A2B2A"/>
    <w:rsid w:val="242D23BA"/>
    <w:rsid w:val="247022A7"/>
    <w:rsid w:val="24AD7057"/>
    <w:rsid w:val="25445C0D"/>
    <w:rsid w:val="254E083A"/>
    <w:rsid w:val="2561056D"/>
    <w:rsid w:val="266F2F1B"/>
    <w:rsid w:val="2681079B"/>
    <w:rsid w:val="26EC20B9"/>
    <w:rsid w:val="27BA3F65"/>
    <w:rsid w:val="28D04EA7"/>
    <w:rsid w:val="28D9666D"/>
    <w:rsid w:val="28EA6ACC"/>
    <w:rsid w:val="29606D8E"/>
    <w:rsid w:val="29FB4DA3"/>
    <w:rsid w:val="2A36189D"/>
    <w:rsid w:val="2B0278F5"/>
    <w:rsid w:val="2B9B40AD"/>
    <w:rsid w:val="2BE45A54"/>
    <w:rsid w:val="2C4F36F5"/>
    <w:rsid w:val="2CCE21C1"/>
    <w:rsid w:val="2D430559"/>
    <w:rsid w:val="2D5F22BD"/>
    <w:rsid w:val="2E4C78E1"/>
    <w:rsid w:val="2EA8720D"/>
    <w:rsid w:val="2FF37D11"/>
    <w:rsid w:val="3013049D"/>
    <w:rsid w:val="32AC6BA0"/>
    <w:rsid w:val="330C763F"/>
    <w:rsid w:val="332C3D99"/>
    <w:rsid w:val="34627E5E"/>
    <w:rsid w:val="350B0165"/>
    <w:rsid w:val="36473440"/>
    <w:rsid w:val="365875C5"/>
    <w:rsid w:val="366A480D"/>
    <w:rsid w:val="36791567"/>
    <w:rsid w:val="386C3059"/>
    <w:rsid w:val="389265DF"/>
    <w:rsid w:val="39356049"/>
    <w:rsid w:val="397D4DF2"/>
    <w:rsid w:val="398E6FFF"/>
    <w:rsid w:val="3A970136"/>
    <w:rsid w:val="3AB9077E"/>
    <w:rsid w:val="3B4E60E4"/>
    <w:rsid w:val="3B697D24"/>
    <w:rsid w:val="3B8F2974"/>
    <w:rsid w:val="3BFE2074"/>
    <w:rsid w:val="3C1E0B0E"/>
    <w:rsid w:val="3CF3431D"/>
    <w:rsid w:val="3D1C3EB5"/>
    <w:rsid w:val="3DCE20C0"/>
    <w:rsid w:val="3E4D56DB"/>
    <w:rsid w:val="3F7679B5"/>
    <w:rsid w:val="3F8C7277"/>
    <w:rsid w:val="3FA0222F"/>
    <w:rsid w:val="40185875"/>
    <w:rsid w:val="40FF07E3"/>
    <w:rsid w:val="410A1661"/>
    <w:rsid w:val="41994793"/>
    <w:rsid w:val="426254CD"/>
    <w:rsid w:val="42D769B6"/>
    <w:rsid w:val="4335673E"/>
    <w:rsid w:val="43F3462F"/>
    <w:rsid w:val="446D26D0"/>
    <w:rsid w:val="44F600D3"/>
    <w:rsid w:val="45617704"/>
    <w:rsid w:val="45EA7CB3"/>
    <w:rsid w:val="460E39A2"/>
    <w:rsid w:val="46603AD2"/>
    <w:rsid w:val="466C06C8"/>
    <w:rsid w:val="46F506BE"/>
    <w:rsid w:val="472114B3"/>
    <w:rsid w:val="474E6020"/>
    <w:rsid w:val="47B73BC5"/>
    <w:rsid w:val="48481B72"/>
    <w:rsid w:val="48B048DB"/>
    <w:rsid w:val="48D86BCC"/>
    <w:rsid w:val="492B03C7"/>
    <w:rsid w:val="49E92B5E"/>
    <w:rsid w:val="4A5E47CC"/>
    <w:rsid w:val="4ADD4F0C"/>
    <w:rsid w:val="4B6A5607"/>
    <w:rsid w:val="4B8C0594"/>
    <w:rsid w:val="4BD74D4A"/>
    <w:rsid w:val="4C081138"/>
    <w:rsid w:val="4C0F7B1B"/>
    <w:rsid w:val="4CC56D84"/>
    <w:rsid w:val="4CFE380A"/>
    <w:rsid w:val="4D862B8C"/>
    <w:rsid w:val="4DA21038"/>
    <w:rsid w:val="4DB12915"/>
    <w:rsid w:val="4DDC4386"/>
    <w:rsid w:val="4DE91357"/>
    <w:rsid w:val="4DFF35F5"/>
    <w:rsid w:val="4EF47599"/>
    <w:rsid w:val="4F55619D"/>
    <w:rsid w:val="4FE3578A"/>
    <w:rsid w:val="50F814D6"/>
    <w:rsid w:val="525E35BB"/>
    <w:rsid w:val="529325A3"/>
    <w:rsid w:val="52B4767F"/>
    <w:rsid w:val="53C208DB"/>
    <w:rsid w:val="54A51975"/>
    <w:rsid w:val="54D062C6"/>
    <w:rsid w:val="54E94B5B"/>
    <w:rsid w:val="55661639"/>
    <w:rsid w:val="55761622"/>
    <w:rsid w:val="57E8F548"/>
    <w:rsid w:val="585D4315"/>
    <w:rsid w:val="58FE1654"/>
    <w:rsid w:val="5AB64136"/>
    <w:rsid w:val="5B6347A8"/>
    <w:rsid w:val="5BD857FA"/>
    <w:rsid w:val="5C02145B"/>
    <w:rsid w:val="5C080481"/>
    <w:rsid w:val="5C635E30"/>
    <w:rsid w:val="5D932670"/>
    <w:rsid w:val="5E202145"/>
    <w:rsid w:val="5E6006BB"/>
    <w:rsid w:val="5EA44A4C"/>
    <w:rsid w:val="5F08322C"/>
    <w:rsid w:val="5F621BCD"/>
    <w:rsid w:val="5FA568C3"/>
    <w:rsid w:val="6031647B"/>
    <w:rsid w:val="603718EF"/>
    <w:rsid w:val="60F03F78"/>
    <w:rsid w:val="628A3F58"/>
    <w:rsid w:val="62F74A7A"/>
    <w:rsid w:val="63304B00"/>
    <w:rsid w:val="63626C83"/>
    <w:rsid w:val="642D7291"/>
    <w:rsid w:val="64390B60"/>
    <w:rsid w:val="64F953C5"/>
    <w:rsid w:val="65572A49"/>
    <w:rsid w:val="668E2223"/>
    <w:rsid w:val="66C35C8B"/>
    <w:rsid w:val="673F3837"/>
    <w:rsid w:val="67A21D44"/>
    <w:rsid w:val="683026D9"/>
    <w:rsid w:val="683536BE"/>
    <w:rsid w:val="684F129C"/>
    <w:rsid w:val="689A6DDC"/>
    <w:rsid w:val="69140A20"/>
    <w:rsid w:val="69212716"/>
    <w:rsid w:val="693F388B"/>
    <w:rsid w:val="6A2353BE"/>
    <w:rsid w:val="6C1A634D"/>
    <w:rsid w:val="6D0B213A"/>
    <w:rsid w:val="6DBA21A1"/>
    <w:rsid w:val="6DC9627D"/>
    <w:rsid w:val="6DD93FE6"/>
    <w:rsid w:val="6E3D4575"/>
    <w:rsid w:val="700C06A3"/>
    <w:rsid w:val="71866233"/>
    <w:rsid w:val="724A7260"/>
    <w:rsid w:val="72850298"/>
    <w:rsid w:val="73731F46"/>
    <w:rsid w:val="742C1313"/>
    <w:rsid w:val="74FE7FE0"/>
    <w:rsid w:val="76312C11"/>
    <w:rsid w:val="77440722"/>
    <w:rsid w:val="78A10FF3"/>
    <w:rsid w:val="78AF3D07"/>
    <w:rsid w:val="79494F5B"/>
    <w:rsid w:val="7967694A"/>
    <w:rsid w:val="7A170370"/>
    <w:rsid w:val="7A301431"/>
    <w:rsid w:val="7A8D418E"/>
    <w:rsid w:val="7AAD2A82"/>
    <w:rsid w:val="7AE77D42"/>
    <w:rsid w:val="7AF5051C"/>
    <w:rsid w:val="7B2E771F"/>
    <w:rsid w:val="7BBA680A"/>
    <w:rsid w:val="7BE826AE"/>
    <w:rsid w:val="7C914409"/>
    <w:rsid w:val="7CCF532E"/>
    <w:rsid w:val="7CE16A13"/>
    <w:rsid w:val="7CF71AB3"/>
    <w:rsid w:val="7D6C09D3"/>
    <w:rsid w:val="7DB163E5"/>
    <w:rsid w:val="7E00338F"/>
    <w:rsid w:val="7EA53F92"/>
    <w:rsid w:val="7EF24F07"/>
    <w:rsid w:val="7F1135E0"/>
    <w:rsid w:val="7F990663"/>
    <w:rsid w:val="F742FE2D"/>
    <w:rsid w:val="FB7F3E0D"/>
    <w:rsid w:val="FBACAD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qFormat="1" w:uiPriority="99" w:semiHidden="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880" w:firstLineChars="200"/>
      <w:jc w:val="both"/>
    </w:pPr>
    <w:rPr>
      <w:rFonts w:ascii="Times New Roman" w:hAnsi="Times New Roman" w:eastAsia="仿宋_GB2312" w:cs="Times New Roman"/>
      <w:kern w:val="2"/>
      <w:sz w:val="32"/>
      <w:szCs w:val="24"/>
      <w:lang w:val="en-US" w:eastAsia="zh-CN" w:bidi="ar-SA"/>
    </w:rPr>
  </w:style>
  <w:style w:type="character" w:default="1" w:styleId="11">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customStyle="1" w:styleId="2">
    <w:name w:val="Default"/>
    <w:next w:val="3"/>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styleId="3">
    <w:name w:val="index 6"/>
    <w:next w:val="1"/>
    <w:unhideWhenUsed/>
    <w:qFormat/>
    <w:uiPriority w:val="99"/>
    <w:pPr>
      <w:widowControl w:val="0"/>
      <w:ind w:left="2100"/>
      <w:jc w:val="both"/>
    </w:pPr>
    <w:rPr>
      <w:rFonts w:ascii="Times New Roman" w:hAnsi="Times New Roman" w:eastAsia="宋体" w:cs="Times New Roman"/>
      <w:kern w:val="2"/>
      <w:sz w:val="21"/>
      <w:szCs w:val="24"/>
      <w:lang w:val="en-US" w:eastAsia="zh-CN" w:bidi="ar-SA"/>
    </w:rPr>
  </w:style>
  <w:style w:type="paragraph" w:styleId="4">
    <w:name w:val="annotation text"/>
    <w:basedOn w:val="1"/>
    <w:semiHidden/>
    <w:unhideWhenUsed/>
    <w:qFormat/>
    <w:uiPriority w:val="0"/>
    <w:pPr>
      <w:jc w:val="left"/>
    </w:pPr>
  </w:style>
  <w:style w:type="paragraph" w:styleId="5">
    <w:name w:val="Balloon Text"/>
    <w:basedOn w:val="1"/>
    <w:link w:val="39"/>
    <w:semiHidden/>
    <w:unhideWhenUsed/>
    <w:qFormat/>
    <w:uiPriority w:val="0"/>
    <w:rPr>
      <w:sz w:val="18"/>
      <w:szCs w:val="18"/>
    </w:rPr>
  </w:style>
  <w:style w:type="paragraph" w:styleId="6">
    <w:name w:val="footer"/>
    <w:basedOn w:val="1"/>
    <w:link w:val="31"/>
    <w:qFormat/>
    <w:uiPriority w:val="99"/>
    <w:pPr>
      <w:tabs>
        <w:tab w:val="center" w:pos="4153"/>
        <w:tab w:val="right" w:pos="8306"/>
      </w:tabs>
      <w:snapToGrid w:val="0"/>
      <w:jc w:val="left"/>
    </w:pPr>
    <w:rPr>
      <w:sz w:val="18"/>
      <w:szCs w:val="18"/>
    </w:rPr>
  </w:style>
  <w:style w:type="paragraph" w:styleId="7">
    <w:name w:val="header"/>
    <w:basedOn w:val="1"/>
    <w:link w:val="30"/>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99"/>
    <w:pPr>
      <w:spacing w:before="100" w:beforeAutospacing="1" w:after="100" w:afterAutospacing="1"/>
      <w:jc w:val="left"/>
    </w:pPr>
    <w:rPr>
      <w:kern w:val="0"/>
      <w:sz w:val="24"/>
    </w:rPr>
  </w:style>
  <w:style w:type="table" w:styleId="10">
    <w:name w:val="Table Grid"/>
    <w:basedOn w:val="9"/>
    <w:qFormat/>
    <w:uiPriority w:val="39"/>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2">
    <w:name w:val="Strong"/>
    <w:basedOn w:val="11"/>
    <w:qFormat/>
    <w:uiPriority w:val="0"/>
    <w:rPr>
      <w:b/>
    </w:rPr>
  </w:style>
  <w:style w:type="character" w:styleId="13">
    <w:name w:val="Hyperlink"/>
    <w:basedOn w:val="11"/>
    <w:unhideWhenUsed/>
    <w:qFormat/>
    <w:uiPriority w:val="99"/>
    <w:rPr>
      <w:color w:val="0000FF"/>
      <w:u w:val="single"/>
    </w:rPr>
  </w:style>
  <w:style w:type="paragraph" w:customStyle="1" w:styleId="14">
    <w:name w:val="段"/>
    <w:link w:val="29"/>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15">
    <w:name w:val="正文表标题"/>
    <w:next w:val="14"/>
    <w:qFormat/>
    <w:uiPriority w:val="0"/>
    <w:pPr>
      <w:spacing w:beforeLines="50" w:afterLines="50"/>
      <w:jc w:val="center"/>
    </w:pPr>
    <w:rPr>
      <w:rFonts w:ascii="黑体" w:hAnsi="Times New Roman" w:eastAsia="黑体" w:cs="Times New Roman"/>
      <w:sz w:val="21"/>
      <w:lang w:val="en-US" w:eastAsia="zh-CN" w:bidi="ar-SA"/>
    </w:rPr>
  </w:style>
  <w:style w:type="paragraph" w:customStyle="1" w:styleId="16">
    <w:name w:val="正文图标题"/>
    <w:next w:val="14"/>
    <w:qFormat/>
    <w:uiPriority w:val="0"/>
    <w:pPr>
      <w:numPr>
        <w:ilvl w:val="0"/>
        <w:numId w:val="1"/>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17">
    <w:name w:val="其他发布日期"/>
    <w:basedOn w:val="1"/>
    <w:qFormat/>
    <w:uiPriority w:val="0"/>
    <w:pPr>
      <w:framePr w:w="3997" w:h="471" w:hRule="exact" w:vSpace="181" w:wrap="around" w:vAnchor="page" w:hAnchor="page" w:x="1419" w:y="14097" w:anchorLock="1"/>
      <w:widowControl/>
      <w:numPr>
        <w:ilvl w:val="0"/>
        <w:numId w:val="2"/>
      </w:numPr>
      <w:jc w:val="left"/>
    </w:pPr>
    <w:rPr>
      <w:rFonts w:eastAsia="黑体"/>
      <w:kern w:val="0"/>
      <w:sz w:val="28"/>
      <w:szCs w:val="20"/>
    </w:rPr>
  </w:style>
  <w:style w:type="paragraph" w:customStyle="1" w:styleId="18">
    <w:name w:val="一级条标题"/>
    <w:next w:val="14"/>
    <w:qFormat/>
    <w:uiPriority w:val="0"/>
    <w:pPr>
      <w:numPr>
        <w:ilvl w:val="1"/>
        <w:numId w:val="3"/>
      </w:numPr>
      <w:spacing w:beforeLines="50" w:afterLines="50"/>
      <w:outlineLvl w:val="2"/>
    </w:pPr>
    <w:rPr>
      <w:rFonts w:ascii="黑体" w:hAnsi="Times New Roman" w:eastAsia="黑体" w:cs="Times New Roman"/>
      <w:sz w:val="21"/>
      <w:szCs w:val="21"/>
      <w:lang w:val="en-US" w:eastAsia="zh-CN" w:bidi="ar-SA"/>
    </w:rPr>
  </w:style>
  <w:style w:type="paragraph" w:customStyle="1" w:styleId="19">
    <w:name w:val="章标题"/>
    <w:next w:val="14"/>
    <w:qFormat/>
    <w:uiPriority w:val="0"/>
    <w:pPr>
      <w:numPr>
        <w:ilvl w:val="0"/>
        <w:numId w:val="3"/>
      </w:numPr>
      <w:spacing w:beforeLines="100" w:afterLines="100"/>
      <w:jc w:val="both"/>
      <w:outlineLvl w:val="1"/>
    </w:pPr>
    <w:rPr>
      <w:rFonts w:ascii="黑体" w:hAnsi="Times New Roman" w:eastAsia="黑体" w:cs="Times New Roman"/>
      <w:sz w:val="21"/>
      <w:lang w:val="en-US" w:eastAsia="zh-CN" w:bidi="ar-SA"/>
    </w:rPr>
  </w:style>
  <w:style w:type="paragraph" w:customStyle="1" w:styleId="20">
    <w:name w:val="二级条标题"/>
    <w:basedOn w:val="18"/>
    <w:next w:val="14"/>
    <w:qFormat/>
    <w:uiPriority w:val="0"/>
    <w:pPr>
      <w:numPr>
        <w:ilvl w:val="2"/>
      </w:numPr>
      <w:spacing w:before="50" w:after="50"/>
      <w:outlineLvl w:val="3"/>
    </w:pPr>
  </w:style>
  <w:style w:type="paragraph" w:customStyle="1" w:styleId="21">
    <w:name w:val="三级条标题"/>
    <w:basedOn w:val="20"/>
    <w:next w:val="14"/>
    <w:qFormat/>
    <w:uiPriority w:val="0"/>
    <w:pPr>
      <w:numPr>
        <w:ilvl w:val="3"/>
      </w:numPr>
      <w:outlineLvl w:val="4"/>
    </w:pPr>
  </w:style>
  <w:style w:type="paragraph" w:customStyle="1" w:styleId="22">
    <w:name w:val="四级条标题"/>
    <w:basedOn w:val="21"/>
    <w:next w:val="14"/>
    <w:qFormat/>
    <w:uiPriority w:val="0"/>
    <w:pPr>
      <w:numPr>
        <w:ilvl w:val="4"/>
      </w:numPr>
      <w:outlineLvl w:val="5"/>
    </w:pPr>
  </w:style>
  <w:style w:type="paragraph" w:customStyle="1" w:styleId="23">
    <w:name w:val="五级条标题"/>
    <w:basedOn w:val="22"/>
    <w:next w:val="14"/>
    <w:qFormat/>
    <w:uiPriority w:val="0"/>
    <w:pPr>
      <w:numPr>
        <w:ilvl w:val="5"/>
      </w:numPr>
      <w:outlineLvl w:val="6"/>
    </w:pPr>
  </w:style>
  <w:style w:type="paragraph" w:customStyle="1" w:styleId="24">
    <w:name w:val="注："/>
    <w:next w:val="14"/>
    <w:qFormat/>
    <w:uiPriority w:val="0"/>
    <w:pPr>
      <w:widowControl w:val="0"/>
      <w:numPr>
        <w:ilvl w:val="0"/>
        <w:numId w:val="4"/>
      </w:numPr>
      <w:autoSpaceDE w:val="0"/>
      <w:autoSpaceDN w:val="0"/>
      <w:ind w:left="726" w:hanging="363"/>
      <w:jc w:val="both"/>
    </w:pPr>
    <w:rPr>
      <w:rFonts w:ascii="宋体" w:hAnsi="Times New Roman" w:eastAsia="宋体" w:cs="Times New Roman"/>
      <w:sz w:val="18"/>
      <w:szCs w:val="18"/>
      <w:lang w:val="en-US" w:eastAsia="zh-CN" w:bidi="ar-SA"/>
    </w:rPr>
  </w:style>
  <w:style w:type="paragraph" w:customStyle="1" w:styleId="25">
    <w:name w:val="附录图标号"/>
    <w:basedOn w:val="1"/>
    <w:qFormat/>
    <w:uiPriority w:val="0"/>
    <w:pPr>
      <w:keepNext/>
      <w:pageBreakBefore/>
      <w:widowControl/>
      <w:numPr>
        <w:ilvl w:val="0"/>
        <w:numId w:val="5"/>
      </w:numPr>
      <w:spacing w:line="14" w:lineRule="exact"/>
      <w:ind w:left="0" w:firstLine="363"/>
      <w:jc w:val="center"/>
      <w:outlineLvl w:val="0"/>
    </w:pPr>
    <w:rPr>
      <w:color w:val="FFFFFF"/>
    </w:rPr>
  </w:style>
  <w:style w:type="paragraph" w:customStyle="1" w:styleId="26">
    <w:name w:val="附录图标题"/>
    <w:basedOn w:val="1"/>
    <w:next w:val="14"/>
    <w:qFormat/>
    <w:uiPriority w:val="0"/>
    <w:pPr>
      <w:numPr>
        <w:ilvl w:val="1"/>
        <w:numId w:val="5"/>
      </w:numPr>
      <w:tabs>
        <w:tab w:val="left" w:pos="363"/>
      </w:tabs>
      <w:spacing w:beforeLines="50" w:afterLines="50"/>
      <w:ind w:left="0" w:firstLine="0"/>
      <w:jc w:val="center"/>
    </w:pPr>
    <w:rPr>
      <w:rFonts w:ascii="黑体" w:eastAsia="黑体"/>
      <w:szCs w:val="21"/>
    </w:rPr>
  </w:style>
  <w:style w:type="paragraph" w:customStyle="1" w:styleId="27">
    <w:name w:val="注×：（正文）"/>
    <w:qFormat/>
    <w:uiPriority w:val="0"/>
    <w:pPr>
      <w:numPr>
        <w:ilvl w:val="0"/>
        <w:numId w:val="6"/>
      </w:numPr>
      <w:jc w:val="both"/>
    </w:pPr>
    <w:rPr>
      <w:rFonts w:ascii="宋体" w:hAnsi="Times New Roman" w:eastAsia="宋体" w:cs="Times New Roman"/>
      <w:sz w:val="18"/>
      <w:szCs w:val="18"/>
      <w:lang w:val="en-US" w:eastAsia="zh-CN" w:bidi="ar-SA"/>
    </w:rPr>
  </w:style>
  <w:style w:type="paragraph" w:customStyle="1" w:styleId="28">
    <w:name w:val="图表脚注说明"/>
    <w:basedOn w:val="1"/>
    <w:qFormat/>
    <w:uiPriority w:val="0"/>
    <w:pPr>
      <w:numPr>
        <w:ilvl w:val="0"/>
        <w:numId w:val="7"/>
      </w:numPr>
    </w:pPr>
    <w:rPr>
      <w:rFonts w:ascii="宋体"/>
      <w:sz w:val="18"/>
      <w:szCs w:val="18"/>
    </w:rPr>
  </w:style>
  <w:style w:type="character" w:customStyle="1" w:styleId="29">
    <w:name w:val="段 Char"/>
    <w:basedOn w:val="11"/>
    <w:link w:val="14"/>
    <w:qFormat/>
    <w:uiPriority w:val="0"/>
    <w:rPr>
      <w:rFonts w:ascii="宋体"/>
      <w:sz w:val="21"/>
      <w:lang w:val="en-US" w:eastAsia="zh-CN" w:bidi="ar-SA"/>
    </w:rPr>
  </w:style>
  <w:style w:type="character" w:customStyle="1" w:styleId="30">
    <w:name w:val="页眉 Char"/>
    <w:basedOn w:val="11"/>
    <w:link w:val="7"/>
    <w:qFormat/>
    <w:uiPriority w:val="0"/>
    <w:rPr>
      <w:kern w:val="2"/>
      <w:sz w:val="18"/>
      <w:szCs w:val="18"/>
    </w:rPr>
  </w:style>
  <w:style w:type="character" w:customStyle="1" w:styleId="31">
    <w:name w:val="页脚 Char"/>
    <w:basedOn w:val="11"/>
    <w:link w:val="6"/>
    <w:qFormat/>
    <w:uiPriority w:val="99"/>
    <w:rPr>
      <w:kern w:val="2"/>
      <w:sz w:val="18"/>
      <w:szCs w:val="18"/>
    </w:rPr>
  </w:style>
  <w:style w:type="paragraph" w:customStyle="1" w:styleId="32">
    <w:name w:val="附录表标题"/>
    <w:basedOn w:val="1"/>
    <w:next w:val="14"/>
    <w:qFormat/>
    <w:uiPriority w:val="0"/>
    <w:pPr>
      <w:numPr>
        <w:ilvl w:val="1"/>
        <w:numId w:val="8"/>
      </w:numPr>
      <w:tabs>
        <w:tab w:val="left" w:pos="180"/>
      </w:tabs>
      <w:spacing w:beforeLines="50" w:afterLines="50"/>
      <w:ind w:left="0" w:firstLine="0"/>
      <w:jc w:val="center"/>
    </w:pPr>
    <w:rPr>
      <w:rFonts w:ascii="黑体" w:eastAsia="黑体"/>
      <w:szCs w:val="21"/>
    </w:rPr>
  </w:style>
  <w:style w:type="paragraph" w:styleId="33">
    <w:name w:val="List Paragraph"/>
    <w:basedOn w:val="1"/>
    <w:unhideWhenUsed/>
    <w:qFormat/>
    <w:uiPriority w:val="34"/>
    <w:pPr>
      <w:ind w:firstLine="420"/>
    </w:pPr>
  </w:style>
  <w:style w:type="paragraph" w:customStyle="1" w:styleId="34">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35">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character" w:customStyle="1" w:styleId="36">
    <w:name w:val="发布"/>
    <w:qFormat/>
    <w:uiPriority w:val="0"/>
    <w:rPr>
      <w:rFonts w:ascii="黑体" w:eastAsia="黑体"/>
      <w:spacing w:val="22"/>
      <w:w w:val="100"/>
      <w:position w:val="3"/>
      <w:sz w:val="28"/>
    </w:rPr>
  </w:style>
  <w:style w:type="paragraph" w:customStyle="1" w:styleId="37">
    <w:name w:val="其他发布部门"/>
    <w:basedOn w:val="1"/>
    <w:qFormat/>
    <w:uiPriority w:val="0"/>
    <w:pPr>
      <w:widowControl/>
      <w:spacing w:line="0" w:lineRule="atLeast"/>
      <w:jc w:val="center"/>
    </w:pPr>
    <w:rPr>
      <w:rFonts w:ascii="黑体" w:eastAsia="黑体"/>
      <w:spacing w:val="20"/>
      <w:w w:val="135"/>
      <w:kern w:val="0"/>
      <w:sz w:val="36"/>
      <w:szCs w:val="20"/>
    </w:rPr>
  </w:style>
  <w:style w:type="paragraph" w:customStyle="1" w:styleId="38">
    <w:name w:val="标准文件_段"/>
    <w:link w:val="51"/>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39">
    <w:name w:val="批注框文本 Char"/>
    <w:basedOn w:val="11"/>
    <w:link w:val="5"/>
    <w:semiHidden/>
    <w:qFormat/>
    <w:uiPriority w:val="0"/>
    <w:rPr>
      <w:rFonts w:ascii="Times New Roman" w:hAnsi="Times New Roman"/>
      <w:kern w:val="2"/>
      <w:sz w:val="18"/>
      <w:szCs w:val="18"/>
    </w:rPr>
  </w:style>
  <w:style w:type="paragraph" w:customStyle="1" w:styleId="40">
    <w:name w:val="BodyText2"/>
    <w:basedOn w:val="1"/>
    <w:qFormat/>
    <w:uiPriority w:val="0"/>
    <w:pPr>
      <w:spacing w:after="120" w:line="480" w:lineRule="auto"/>
      <w:textAlignment w:val="baseline"/>
    </w:pPr>
    <w:rPr>
      <w:rFonts w:eastAsia="宋体"/>
      <w:szCs w:val="32"/>
    </w:rPr>
  </w:style>
  <w:style w:type="paragraph" w:customStyle="1" w:styleId="41">
    <w:name w:val="标准文件_表格"/>
    <w:basedOn w:val="1"/>
    <w:qFormat/>
    <w:uiPriority w:val="0"/>
    <w:pPr>
      <w:widowControl/>
      <w:autoSpaceDE w:val="0"/>
      <w:autoSpaceDN w:val="0"/>
      <w:jc w:val="center"/>
    </w:pPr>
    <w:rPr>
      <w:rFonts w:hint="eastAsia" w:ascii="宋体" w:eastAsia="宋体"/>
      <w:kern w:val="0"/>
      <w:sz w:val="18"/>
      <w:szCs w:val="20"/>
    </w:rPr>
  </w:style>
  <w:style w:type="paragraph" w:customStyle="1" w:styleId="42">
    <w:name w:val="标准文件_标准正文"/>
    <w:basedOn w:val="1"/>
    <w:next w:val="38"/>
    <w:qFormat/>
    <w:uiPriority w:val="0"/>
    <w:pPr>
      <w:adjustRightInd w:val="0"/>
      <w:snapToGrid w:val="0"/>
      <w:spacing w:line="400" w:lineRule="exact"/>
      <w:ind w:firstLine="200"/>
    </w:pPr>
    <w:rPr>
      <w:rFonts w:ascii="Calibri" w:hAnsi="Calibri" w:eastAsia="宋体"/>
      <w:kern w:val="0"/>
      <w:sz w:val="21"/>
      <w:szCs w:val="21"/>
    </w:rPr>
  </w:style>
  <w:style w:type="paragraph" w:customStyle="1" w:styleId="43">
    <w:name w:val="标准文件_二级条标题"/>
    <w:next w:val="38"/>
    <w:qFormat/>
    <w:uiPriority w:val="0"/>
    <w:pPr>
      <w:widowControl w:val="0"/>
      <w:numPr>
        <w:ilvl w:val="3"/>
        <w:numId w:val="9"/>
      </w:numPr>
      <w:spacing w:before="50" w:beforeLines="50" w:after="50" w:afterLines="50"/>
      <w:ind w:left="0"/>
      <w:jc w:val="both"/>
      <w:outlineLvl w:val="2"/>
    </w:pPr>
    <w:rPr>
      <w:rFonts w:ascii="黑体" w:hAnsi="Times New Roman" w:eastAsia="黑体" w:cs="Times New Roman"/>
      <w:sz w:val="21"/>
      <w:lang w:val="en-US" w:eastAsia="zh-CN" w:bidi="ar-SA"/>
    </w:rPr>
  </w:style>
  <w:style w:type="paragraph" w:customStyle="1" w:styleId="44">
    <w:name w:val="标准文件_三级条标题"/>
    <w:basedOn w:val="43"/>
    <w:next w:val="38"/>
    <w:qFormat/>
    <w:uiPriority w:val="0"/>
    <w:pPr>
      <w:widowControl/>
      <w:numPr>
        <w:ilvl w:val="4"/>
      </w:numPr>
      <w:outlineLvl w:val="3"/>
    </w:pPr>
  </w:style>
  <w:style w:type="paragraph" w:customStyle="1" w:styleId="45">
    <w:name w:val="标准文件_四级条标题"/>
    <w:next w:val="38"/>
    <w:qFormat/>
    <w:uiPriority w:val="0"/>
    <w:pPr>
      <w:widowControl w:val="0"/>
      <w:numPr>
        <w:ilvl w:val="5"/>
        <w:numId w:val="9"/>
      </w:numPr>
      <w:spacing w:before="50" w:beforeLines="50" w:after="50" w:afterLines="50"/>
      <w:jc w:val="both"/>
      <w:outlineLvl w:val="4"/>
    </w:pPr>
    <w:rPr>
      <w:rFonts w:ascii="黑体" w:hAnsi="Times New Roman" w:eastAsia="黑体" w:cs="Times New Roman"/>
      <w:sz w:val="21"/>
      <w:lang w:val="en-US" w:eastAsia="zh-CN" w:bidi="ar-SA"/>
    </w:rPr>
  </w:style>
  <w:style w:type="paragraph" w:customStyle="1" w:styleId="46">
    <w:name w:val="标准文件_五级条标题"/>
    <w:next w:val="38"/>
    <w:qFormat/>
    <w:uiPriority w:val="0"/>
    <w:pPr>
      <w:widowControl w:val="0"/>
      <w:numPr>
        <w:ilvl w:val="6"/>
        <w:numId w:val="9"/>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47">
    <w:name w:val="标准文件_章标题"/>
    <w:next w:val="38"/>
    <w:qFormat/>
    <w:uiPriority w:val="0"/>
    <w:pPr>
      <w:numPr>
        <w:ilvl w:val="1"/>
        <w:numId w:val="9"/>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48">
    <w:name w:val="标准文件_一级条标题"/>
    <w:basedOn w:val="47"/>
    <w:next w:val="38"/>
    <w:qFormat/>
    <w:uiPriority w:val="0"/>
    <w:pPr>
      <w:numPr>
        <w:ilvl w:val="2"/>
      </w:numPr>
      <w:spacing w:before="50" w:beforeLines="50" w:after="50" w:afterLines="50"/>
      <w:ind w:left="0"/>
      <w:outlineLvl w:val="1"/>
    </w:pPr>
  </w:style>
  <w:style w:type="paragraph" w:customStyle="1" w:styleId="49">
    <w:name w:val="标准文件_正文公式"/>
    <w:basedOn w:val="1"/>
    <w:next w:val="42"/>
    <w:qFormat/>
    <w:uiPriority w:val="0"/>
    <w:pPr>
      <w:tabs>
        <w:tab w:val="center" w:pos="4678"/>
        <w:tab w:val="right" w:leader="middleDot" w:pos="9356"/>
      </w:tabs>
      <w:adjustRightInd w:val="0"/>
      <w:ind w:firstLine="0" w:firstLineChars="0"/>
    </w:pPr>
    <w:rPr>
      <w:rFonts w:ascii="宋体" w:hAnsi="宋体" w:eastAsia="宋体"/>
      <w:sz w:val="21"/>
      <w:szCs w:val="21"/>
    </w:rPr>
  </w:style>
  <w:style w:type="paragraph" w:customStyle="1" w:styleId="50">
    <w:name w:val="前言标题"/>
    <w:next w:val="1"/>
    <w:qFormat/>
    <w:uiPriority w:val="0"/>
    <w:pPr>
      <w:numPr>
        <w:ilvl w:val="0"/>
        <w:numId w:val="9"/>
      </w:numPr>
      <w:shd w:val="clear" w:color="FFFFFF" w:fill="FFFFFF"/>
      <w:spacing w:before="540" w:after="600"/>
      <w:jc w:val="center"/>
      <w:outlineLvl w:val="0"/>
    </w:pPr>
    <w:rPr>
      <w:rFonts w:ascii="黑体" w:hAnsi="Times New Roman" w:eastAsia="黑体" w:cs="Times New Roman"/>
      <w:sz w:val="32"/>
      <w:lang w:val="en-US" w:eastAsia="zh-CN" w:bidi="ar-SA"/>
    </w:rPr>
  </w:style>
  <w:style w:type="character" w:customStyle="1" w:styleId="51">
    <w:name w:val="标准文件_段 Char"/>
    <w:link w:val="38"/>
    <w:qFormat/>
    <w:uiPriority w:val="0"/>
    <w:rPr>
      <w:rFonts w:ascii="宋体"/>
      <w:sz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6" Type="http://schemas.openxmlformats.org/officeDocument/2006/relationships/fontTable" Target="fontTable.xml"/><Relationship Id="rId25" Type="http://schemas.openxmlformats.org/officeDocument/2006/relationships/customXml" Target="../customXml/item1.xml"/><Relationship Id="rId24" Type="http://schemas.openxmlformats.org/officeDocument/2006/relationships/numbering" Target="numbering.xml"/><Relationship Id="rId23" Type="http://schemas.openxmlformats.org/officeDocument/2006/relationships/image" Target="media/image8.jpeg"/><Relationship Id="rId22" Type="http://schemas.openxmlformats.org/officeDocument/2006/relationships/image" Target="media/image7.jpeg"/><Relationship Id="rId21" Type="http://schemas.openxmlformats.org/officeDocument/2006/relationships/image" Target="media/image6.jpeg"/><Relationship Id="rId20" Type="http://schemas.openxmlformats.org/officeDocument/2006/relationships/image" Target="media/image5.jpeg"/><Relationship Id="rId2" Type="http://schemas.openxmlformats.org/officeDocument/2006/relationships/settings" Target="settings.xml"/><Relationship Id="rId19" Type="http://schemas.openxmlformats.org/officeDocument/2006/relationships/image" Target="media/image4.jpeg"/><Relationship Id="rId18" Type="http://schemas.openxmlformats.org/officeDocument/2006/relationships/image" Target="media/image3.jpeg"/><Relationship Id="rId17" Type="http://schemas.openxmlformats.org/officeDocument/2006/relationships/image" Target="media/image2.jpeg"/><Relationship Id="rId16" Type="http://schemas.openxmlformats.org/officeDocument/2006/relationships/image" Target="media/image1.jpeg"/><Relationship Id="rId15" Type="http://schemas.openxmlformats.org/officeDocument/2006/relationships/chart" Target="charts/chart4.xml"/><Relationship Id="rId14" Type="http://schemas.openxmlformats.org/officeDocument/2006/relationships/chart" Target="charts/chart3.xml"/><Relationship Id="rId13" Type="http://schemas.openxmlformats.org/officeDocument/2006/relationships/chart" Target="charts/chart2.xml"/><Relationship Id="rId12" Type="http://schemas.openxmlformats.org/officeDocument/2006/relationships/chart" Target="charts/chart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oleObject" Target="/media/HUAWEI/F/&#35838;&#39064;&#30740;&#31350;&#25968;&#25454;/&#23004;&#40644;&#32032;/&#23004;&#40644;&#32032;&#21407;&#22987;&#25968;&#25454;/&#23004;&#40644;&#32032;&#23454;&#39564;&#25968;&#25454;&#27719;&#24635;/&#36187;&#40664;&#39134;U3000YQ-008/&#25552;&#21462;&#26041;&#27861;&#36873;&#25321;/&#25552;&#21462;&#26041;&#27861;&#36873;&#25321;.xlsx"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media/HUAWEI/ESD-USB/&#23004;&#40644;&#32032;&#21407;&#22987;&#25968;&#25454;/&#23004;&#40644;&#32032;&#23454;&#39564;&#25968;&#25454;&#27719;&#24635;/&#36187;&#40664;&#39134;U3000YQ-008/&#25552;&#21462;&#28342;&#21058;&#36873;&#25321;/&#25552;&#21462;&#28342;&#21058;&#36873;&#25321;.xlsx" TargetMode="External"/></Relationships>
</file>

<file path=word/charts/_rels/chart3.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media/HUAWEI/F/&#35838;&#39064;&#30740;&#31350;&#25968;&#25454;/&#23004;&#40644;&#32032;/&#23004;&#40644;&#32032;&#21407;&#22987;&#25968;&#25454;/&#23004;&#40644;&#32032;&#23454;&#39564;&#25968;&#25454;&#27719;&#24635;/&#36187;&#40664;&#39134;U3000YQ-008/&#25552;&#21462;&#28342;&#21058;&#20307;&#31215;&#20998;&#25968;&#32771;&#23519;/&#25552;&#21462;&#28342;&#21058;&#20307;&#31215;&#20998;&#25968;.xlsx" TargetMode="External"/></Relationships>
</file>

<file path=word/charts/_rels/chart4.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oleObject" Target="/media/HUAWEI/F/&#35838;&#39064;&#30740;&#31350;&#25968;&#25454;/&#23004;&#40644;&#32032;/&#23004;&#40644;&#32032;&#21407;&#22987;&#25968;&#25454;/&#23004;&#40644;&#32032;&#23454;&#39564;&#25968;&#25454;&#27719;&#24635;/&#36187;&#40664;&#39134;U3000YQ-008/&#25552;&#21462;&#26102;&#38388;&#32771;&#23519;/&#25552;&#21462;&#26102;&#38388;&#32771;&#23519;.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[提取方法选择.xlsx]Sheet1!$A$19</c:f>
              <c:strCache>
                <c:ptCount val="1"/>
                <c:pt idx="0">
                  <c:v>超声提取</c:v>
                </c:pt>
              </c:strCache>
            </c:strRef>
          </c:tx>
          <c:spPr>
            <a:solidFill>
              <a:schemeClr val="accent3">
                <a:lumMod val="40000"/>
                <a:lumOff val="60000"/>
              </a:schemeClr>
            </a:solidFill>
            <a:ln>
              <a:noFill/>
            </a:ln>
            <a:effectLst/>
          </c:spPr>
          <c:invertIfNegative val="0"/>
          <c:dPt>
            <c:idx val="0"/>
            <c:invertIfNegative val="0"/>
            <c:bubble3D val="0"/>
            <c:spPr>
              <a:solidFill>
                <a:schemeClr val="accent3">
                  <a:lumMod val="60000"/>
                  <a:lumOff val="40000"/>
                </a:schemeClr>
              </a:solidFill>
              <a:ln>
                <a:noFill/>
              </a:ln>
              <a:effectLst/>
            </c:spPr>
          </c:dPt>
          <c:dPt>
            <c:idx val="1"/>
            <c:invertIfNegative val="0"/>
            <c:bubble3D val="0"/>
            <c:spPr>
              <a:solidFill>
                <a:schemeClr val="accent3">
                  <a:lumMod val="60000"/>
                  <a:lumOff val="40000"/>
                </a:schemeClr>
              </a:solidFill>
              <a:ln>
                <a:noFill/>
              </a:ln>
              <a:effectLst/>
            </c:spPr>
          </c:dPt>
          <c:dPt>
            <c:idx val="2"/>
            <c:invertIfNegative val="0"/>
            <c:bubble3D val="0"/>
            <c:spPr>
              <a:solidFill>
                <a:schemeClr val="accent3">
                  <a:lumMod val="60000"/>
                  <a:lumOff val="40000"/>
                </a:schemeClr>
              </a:solidFill>
              <a:ln>
                <a:noFill/>
              </a:ln>
              <a:effectLst/>
            </c:spPr>
          </c:dPt>
          <c:dLbls>
            <c:delete val="1"/>
          </c:dLbls>
          <c:cat>
            <c:strRef>
              <c:f>[提取方法选择.xlsx]Sheet1!$B$18:$D$18</c:f>
              <c:strCache>
                <c:ptCount val="3"/>
                <c:pt idx="0">
                  <c:v>双去甲氧基姜黄素</c:v>
                </c:pt>
                <c:pt idx="1">
                  <c:v>去甲氧基姜黄素</c:v>
                </c:pt>
                <c:pt idx="2">
                  <c:v>姜黄素</c:v>
                </c:pt>
              </c:strCache>
            </c:strRef>
          </c:cat>
          <c:val>
            <c:numRef>
              <c:f>[提取方法选择.xlsx]Sheet1!$B$19:$D$19</c:f>
              <c:numCache>
                <c:formatCode>0.00_ </c:formatCode>
                <c:ptCount val="3"/>
                <c:pt idx="0">
                  <c:v>1.721</c:v>
                </c:pt>
                <c:pt idx="1">
                  <c:v>1.22</c:v>
                </c:pt>
                <c:pt idx="2">
                  <c:v>2.346</c:v>
                </c:pt>
              </c:numCache>
            </c:numRef>
          </c:val>
        </c:ser>
        <c:ser>
          <c:idx val="1"/>
          <c:order val="1"/>
          <c:tx>
            <c:strRef>
              <c:f>[提取方法选择.xlsx]Sheet1!$A$20</c:f>
              <c:strCache>
                <c:ptCount val="1"/>
                <c:pt idx="0">
                  <c:v>回流提取</c:v>
                </c:pt>
              </c:strCache>
            </c:strRef>
          </c:tx>
          <c:spPr>
            <a:solidFill>
              <a:schemeClr val="tx2">
                <a:lumMod val="40000"/>
                <a:lumOff val="60000"/>
              </a:schemeClr>
            </a:solidFill>
            <a:ln>
              <a:noFill/>
            </a:ln>
            <a:effectLst/>
          </c:spPr>
          <c:invertIfNegative val="0"/>
          <c:dLbls>
            <c:delete val="1"/>
          </c:dLbls>
          <c:cat>
            <c:strRef>
              <c:f>[提取方法选择.xlsx]Sheet1!$B$18:$D$18</c:f>
              <c:strCache>
                <c:ptCount val="3"/>
                <c:pt idx="0">
                  <c:v>双去甲氧基姜黄素</c:v>
                </c:pt>
                <c:pt idx="1">
                  <c:v>去甲氧基姜黄素</c:v>
                </c:pt>
                <c:pt idx="2">
                  <c:v>姜黄素</c:v>
                </c:pt>
              </c:strCache>
            </c:strRef>
          </c:cat>
          <c:val>
            <c:numRef>
              <c:f>[提取方法选择.xlsx]Sheet1!$B$20:$D$20</c:f>
              <c:numCache>
                <c:formatCode>0.00_ </c:formatCode>
                <c:ptCount val="3"/>
                <c:pt idx="0">
                  <c:v>1.642</c:v>
                </c:pt>
                <c:pt idx="1">
                  <c:v>1.162</c:v>
                </c:pt>
                <c:pt idx="2">
                  <c:v>2.223</c:v>
                </c:pt>
              </c:numCache>
            </c:numRef>
          </c:val>
        </c:ser>
        <c:dLbls>
          <c:showLegendKey val="0"/>
          <c:showVal val="0"/>
          <c:showCatName val="0"/>
          <c:showSerName val="0"/>
          <c:showPercent val="0"/>
          <c:showBubbleSize val="0"/>
        </c:dLbls>
        <c:gapWidth val="219"/>
        <c:overlap val="-27"/>
        <c:axId val="597184368"/>
        <c:axId val="597187896"/>
      </c:barChart>
      <c:catAx>
        <c:axId val="597184368"/>
        <c:scaling>
          <c:orientation val="minMax"/>
        </c:scaling>
        <c:delete val="0"/>
        <c:axPos val="b"/>
        <c:numFmt formatCode="General" sourceLinked="0"/>
        <c:majorTickMark val="out"/>
        <c:minorTickMark val="none"/>
        <c:tickLblPos val="nextTo"/>
        <c:spPr>
          <a:noFill/>
          <a:ln w="9525" cap="flat" cmpd="sng" algn="ctr">
            <a:solidFill>
              <a:schemeClr val="tx1"/>
            </a:solidFill>
            <a:round/>
          </a:ln>
          <a:effectLst/>
        </c:spPr>
        <c:txPr>
          <a:bodyPr rot="-60000000" spcFirstLastPara="0" vertOverflow="ellipsis" vert="horz" wrap="square" anchor="ctr" anchorCtr="1"/>
          <a:lstStyle/>
          <a:p>
            <a:pPr>
              <a:defRPr lang="zh-CN" sz="900" b="0" i="0" u="none" strike="noStrike" kern="1200" baseline="0">
                <a:ln>
                  <a:noFill/>
                </a:ln>
                <a:solidFill>
                  <a:schemeClr val="tx1"/>
                </a:solidFill>
                <a:latin typeface="+mn-lt"/>
                <a:ea typeface="+mn-ea"/>
                <a:cs typeface="+mn-cs"/>
              </a:defRPr>
            </a:pPr>
          </a:p>
        </c:txPr>
        <c:crossAx val="597187896"/>
        <c:crosses val="autoZero"/>
        <c:auto val="1"/>
        <c:lblAlgn val="ctr"/>
        <c:lblOffset val="100"/>
        <c:noMultiLvlLbl val="0"/>
      </c:catAx>
      <c:valAx>
        <c:axId val="597187896"/>
        <c:scaling>
          <c:orientation val="minMax"/>
          <c:max val="2.5"/>
          <c:min val="0.9"/>
        </c:scaling>
        <c:delete val="0"/>
        <c:axPos val="l"/>
        <c:majorGridlines>
          <c:spPr>
            <a:ln w="9525" cap="flat" cmpd="sng" algn="ctr">
              <a:noFill/>
              <a:round/>
            </a:ln>
            <a:effectLst/>
          </c:spPr>
        </c:majorGridlines>
        <c:title>
          <c:tx>
            <c:rich>
              <a:bodyPr rot="-5400000" spcFirstLastPara="0" vertOverflow="ellipsis" vert="horz" wrap="square" anchor="ctr" anchorCtr="1"/>
              <a:lstStyle/>
              <a:p>
                <a:pPr defTabSz="914400">
                  <a:defRPr lang="zh-CN" sz="1000" b="0" i="0" u="none" strike="noStrike" kern="1200" baseline="0">
                    <a:solidFill>
                      <a:schemeClr val="tx1"/>
                    </a:solidFill>
                    <a:latin typeface="+mn-lt"/>
                    <a:ea typeface="+mn-ea"/>
                    <a:cs typeface="+mn-cs"/>
                  </a:defRPr>
                </a:pPr>
                <a:r>
                  <a:rPr lang="zh-CN" altLang="en-US">
                    <a:solidFill>
                      <a:schemeClr val="tx1"/>
                    </a:solidFill>
                  </a:rPr>
                  <a:t>单位：</a:t>
                </a:r>
                <a:r>
                  <a:rPr lang="en-US" altLang="zh-CN">
                    <a:solidFill>
                      <a:schemeClr val="tx1"/>
                    </a:solidFill>
                  </a:rPr>
                  <a:t>%</a:t>
                </a:r>
                <a:endParaRPr lang="en-US" altLang="zh-CN">
                  <a:solidFill>
                    <a:schemeClr val="tx1"/>
                  </a:solidFill>
                </a:endParaRPr>
              </a:p>
            </c:rich>
          </c:tx>
          <c:layout/>
          <c:overlay val="0"/>
          <c:spPr>
            <a:noFill/>
            <a:ln>
              <a:noFill/>
            </a:ln>
            <a:effectLst/>
          </c:spPr>
        </c:title>
        <c:numFmt formatCode="0.00_ " sourceLinked="1"/>
        <c:majorTickMark val="out"/>
        <c:minorTickMark val="none"/>
        <c:tickLblPos val="nextTo"/>
        <c:spPr>
          <a:noFill/>
          <a:ln>
            <a:solidFill>
              <a:schemeClr val="tx1"/>
            </a:solidFill>
          </a:ln>
          <a:effectLst/>
        </c:spPr>
        <c:txPr>
          <a:bodyPr rot="-60000000" spcFirstLastPara="0" vertOverflow="ellipsis" vert="horz" wrap="square" anchor="ctr" anchorCtr="1"/>
          <a:lstStyle/>
          <a:p>
            <a:pPr>
              <a:defRPr lang="zh-CN" sz="900" b="0" i="0" u="none" strike="noStrike" kern="1200" baseline="0">
                <a:ln>
                  <a:noFill/>
                  <a:bevel/>
                </a:ln>
                <a:solidFill>
                  <a:schemeClr val="tx1"/>
                </a:solidFill>
                <a:latin typeface="+mn-lt"/>
                <a:ea typeface="+mn-ea"/>
                <a:cs typeface="+mn-cs"/>
              </a:defRPr>
            </a:pPr>
          </a:p>
        </c:txPr>
        <c:crossAx val="597184368"/>
        <c:crosses val="autoZero"/>
        <c:crossBetween val="between"/>
        <c:majorUnit val="0.2"/>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bf4c5d45-9449-452a-b4bd-b675af240d1d}"/>
      </c:ext>
    </c:extLst>
  </c:chart>
  <c:spPr>
    <a:solidFill>
      <a:schemeClr val="bg1"/>
    </a:solidFill>
    <a:ln w="9525" cap="flat" cmpd="sng" algn="ctr">
      <a:no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[提取溶剂选择.xlsx]Sheet1!$A$14</c:f>
              <c:strCache>
                <c:ptCount val="1"/>
                <c:pt idx="0">
                  <c:v>乙醇</c:v>
                </c:pt>
              </c:strCache>
            </c:strRef>
          </c:tx>
          <c:spPr>
            <a:solidFill>
              <a:schemeClr val="tx2">
                <a:lumMod val="40000"/>
                <a:lumOff val="60000"/>
              </a:schemeClr>
            </a:solidFill>
            <a:ln>
              <a:noFill/>
            </a:ln>
            <a:effectLst/>
          </c:spPr>
          <c:invertIfNegative val="0"/>
          <c:dLbls>
            <c:delete val="1"/>
          </c:dLbls>
          <c:cat>
            <c:strRef>
              <c:f>[提取溶剂选择.xlsx]Sheet1!$B$13:$D$13</c:f>
              <c:strCache>
                <c:ptCount val="3"/>
                <c:pt idx="0">
                  <c:v>双去甲氧基姜黄素</c:v>
                </c:pt>
                <c:pt idx="1">
                  <c:v>去甲氧基姜黄素</c:v>
                </c:pt>
                <c:pt idx="2">
                  <c:v>姜黄素</c:v>
                </c:pt>
              </c:strCache>
            </c:strRef>
          </c:cat>
          <c:val>
            <c:numRef>
              <c:f>[提取溶剂选择.xlsx]Sheet1!$B$14:$D$14</c:f>
              <c:numCache>
                <c:formatCode>0.00_ </c:formatCode>
                <c:ptCount val="3"/>
                <c:pt idx="0">
                  <c:v>1.592015</c:v>
                </c:pt>
                <c:pt idx="1">
                  <c:v>1.19405</c:v>
                </c:pt>
                <c:pt idx="2">
                  <c:v>2.41658</c:v>
                </c:pt>
              </c:numCache>
            </c:numRef>
          </c:val>
        </c:ser>
        <c:ser>
          <c:idx val="1"/>
          <c:order val="1"/>
          <c:tx>
            <c:strRef>
              <c:f>[提取溶剂选择.xlsx]Sheet1!$A$15</c:f>
              <c:strCache>
                <c:ptCount val="1"/>
                <c:pt idx="0">
                  <c:v>乙腈</c:v>
                </c:pt>
              </c:strCache>
            </c:strRef>
          </c:tx>
          <c:spPr>
            <a:solidFill>
              <a:schemeClr val="accent6">
                <a:lumMod val="60000"/>
                <a:lumOff val="40000"/>
              </a:schemeClr>
            </a:solidFill>
            <a:ln>
              <a:noFill/>
            </a:ln>
            <a:effectLst/>
          </c:spPr>
          <c:invertIfNegative val="0"/>
          <c:dLbls>
            <c:delete val="1"/>
          </c:dLbls>
          <c:cat>
            <c:strRef>
              <c:f>[提取溶剂选择.xlsx]Sheet1!$B$13:$D$13</c:f>
              <c:strCache>
                <c:ptCount val="3"/>
                <c:pt idx="0">
                  <c:v>双去甲氧基姜黄素</c:v>
                </c:pt>
                <c:pt idx="1">
                  <c:v>去甲氧基姜黄素</c:v>
                </c:pt>
                <c:pt idx="2">
                  <c:v>姜黄素</c:v>
                </c:pt>
              </c:strCache>
            </c:strRef>
          </c:cat>
          <c:val>
            <c:numRef>
              <c:f>[提取溶剂选择.xlsx]Sheet1!$B$15:$D$15</c:f>
              <c:numCache>
                <c:formatCode>0.00_ </c:formatCode>
                <c:ptCount val="3"/>
                <c:pt idx="0">
                  <c:v>1.449915</c:v>
                </c:pt>
                <c:pt idx="1">
                  <c:v>1.096255</c:v>
                </c:pt>
                <c:pt idx="2">
                  <c:v>2.265305</c:v>
                </c:pt>
              </c:numCache>
            </c:numRef>
          </c:val>
        </c:ser>
        <c:ser>
          <c:idx val="2"/>
          <c:order val="2"/>
          <c:tx>
            <c:strRef>
              <c:f>[提取溶剂选择.xlsx]Sheet1!$A$16</c:f>
              <c:strCache>
                <c:ptCount val="1"/>
                <c:pt idx="0">
                  <c:v>甲醇</c:v>
                </c:pt>
              </c:strCache>
            </c:strRef>
          </c:tx>
          <c:spPr>
            <a:solidFill>
              <a:schemeClr val="accent3">
                <a:lumMod val="60000"/>
                <a:lumOff val="40000"/>
              </a:schemeClr>
            </a:solidFill>
            <a:ln>
              <a:noFill/>
            </a:ln>
            <a:effectLst/>
          </c:spPr>
          <c:invertIfNegative val="0"/>
          <c:dLbls>
            <c:delete val="1"/>
          </c:dLbls>
          <c:cat>
            <c:strRef>
              <c:f>[提取溶剂选择.xlsx]Sheet1!$B$13:$D$13</c:f>
              <c:strCache>
                <c:ptCount val="3"/>
                <c:pt idx="0">
                  <c:v>双去甲氧基姜黄素</c:v>
                </c:pt>
                <c:pt idx="1">
                  <c:v>去甲氧基姜黄素</c:v>
                </c:pt>
                <c:pt idx="2">
                  <c:v>姜黄素</c:v>
                </c:pt>
              </c:strCache>
            </c:strRef>
          </c:cat>
          <c:val>
            <c:numRef>
              <c:f>[提取溶剂选择.xlsx]Sheet1!$B$16:$D$16</c:f>
              <c:numCache>
                <c:formatCode>0.00_ </c:formatCode>
                <c:ptCount val="3"/>
                <c:pt idx="0">
                  <c:v>1.59613</c:v>
                </c:pt>
                <c:pt idx="1">
                  <c:v>1.177495</c:v>
                </c:pt>
                <c:pt idx="2">
                  <c:v>2.35</c:v>
                </c:pt>
              </c:numCache>
            </c:numRef>
          </c:val>
        </c:ser>
        <c:dLbls>
          <c:showLegendKey val="0"/>
          <c:showVal val="0"/>
          <c:showCatName val="0"/>
          <c:showSerName val="0"/>
          <c:showPercent val="0"/>
          <c:showBubbleSize val="0"/>
        </c:dLbls>
        <c:gapWidth val="219"/>
        <c:overlap val="-27"/>
        <c:axId val="597184760"/>
        <c:axId val="597186328"/>
      </c:barChart>
      <c:catAx>
        <c:axId val="597184760"/>
        <c:scaling>
          <c:orientation val="minMax"/>
        </c:scaling>
        <c:delete val="0"/>
        <c:axPos val="b"/>
        <c:numFmt formatCode="General" sourceLinked="0"/>
        <c:majorTickMark val="out"/>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lang="zh-CN" sz="900" b="0" i="0" u="none" strike="noStrike" kern="1200" baseline="0">
                <a:ln w="12700">
                  <a:noFill/>
                </a:ln>
                <a:solidFill>
                  <a:schemeClr val="tx1"/>
                </a:solidFill>
                <a:latin typeface="+mn-lt"/>
                <a:ea typeface="+mn-ea"/>
                <a:cs typeface="+mn-cs"/>
              </a:defRPr>
            </a:pPr>
          </a:p>
        </c:txPr>
        <c:crossAx val="597186328"/>
        <c:crosses val="autoZero"/>
        <c:auto val="1"/>
        <c:lblAlgn val="ctr"/>
        <c:lblOffset val="100"/>
        <c:noMultiLvlLbl val="0"/>
      </c:catAx>
      <c:valAx>
        <c:axId val="597186328"/>
        <c:scaling>
          <c:orientation val="minMax"/>
          <c:min val="0.9"/>
        </c:scaling>
        <c:delete val="0"/>
        <c:axPos val="l"/>
        <c:majorGridlines>
          <c:spPr>
            <a:ln w="9525" cap="flat" cmpd="sng" algn="ctr">
              <a:noFill/>
              <a:round/>
            </a:ln>
            <a:effectLst/>
          </c:spPr>
        </c:majorGridlines>
        <c:title>
          <c:tx>
            <c:rich>
              <a:bodyPr rot="-5400000" spcFirstLastPara="1" vertOverflow="ellipsis" vert="horz" wrap="square" anchor="ctr" anchorCtr="1"/>
              <a:lstStyle/>
              <a:p>
                <a:pPr>
                  <a:defRPr lang="zh-CN" sz="1000" b="0" i="0" u="none" strike="noStrike" kern="1200" baseline="0">
                    <a:ln w="12700">
                      <a:noFill/>
                    </a:ln>
                    <a:solidFill>
                      <a:schemeClr val="tx1"/>
                    </a:solidFill>
                    <a:latin typeface="+mn-lt"/>
                    <a:ea typeface="+mn-ea"/>
                    <a:cs typeface="+mn-cs"/>
                  </a:defRPr>
                </a:pPr>
                <a:r>
                  <a:rPr lang="zh-CN"/>
                  <a:t>单位：</a:t>
                </a:r>
                <a:r>
                  <a:rPr lang="en-US"/>
                  <a:t>%</a:t>
                </a:r>
                <a:endParaRPr lang="en-US"/>
              </a:p>
            </c:rich>
          </c:tx>
          <c:layout/>
          <c:overlay val="0"/>
          <c:spPr>
            <a:noFill/>
            <a:ln>
              <a:noFill/>
            </a:ln>
            <a:effectLst/>
          </c:spPr>
        </c:title>
        <c:numFmt formatCode="0.00_ " sourceLinked="1"/>
        <c:majorTickMark val="out"/>
        <c:minorTickMark val="none"/>
        <c:tickLblPos val="nextTo"/>
        <c:spPr>
          <a:noFill/>
          <a:ln>
            <a:solidFill>
              <a:schemeClr val="tx1"/>
            </a:solidFill>
          </a:ln>
          <a:effectLst/>
        </c:spPr>
        <c:txPr>
          <a:bodyPr rot="-60000000" spcFirstLastPara="1" vertOverflow="ellipsis" vert="horz" wrap="square" anchor="ctr" anchorCtr="1"/>
          <a:lstStyle/>
          <a:p>
            <a:pPr>
              <a:defRPr lang="zh-CN" sz="900" b="0" i="0" u="none" strike="noStrike" kern="1200" baseline="0">
                <a:ln w="12700">
                  <a:noFill/>
                </a:ln>
                <a:solidFill>
                  <a:schemeClr val="tx1"/>
                </a:solidFill>
                <a:latin typeface="+mn-lt"/>
                <a:ea typeface="+mn-ea"/>
                <a:cs typeface="+mn-cs"/>
              </a:defRPr>
            </a:pPr>
          </a:p>
        </c:txPr>
        <c:crossAx val="597184760"/>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ln w="12700">
                <a:noFill/>
              </a:ln>
              <a:solidFill>
                <a:schemeClr val="tx1"/>
              </a:solidFill>
              <a:latin typeface="+mn-lt"/>
              <a:ea typeface="+mn-ea"/>
              <a:cs typeface="+mn-cs"/>
            </a:defRPr>
          </a:pPr>
        </a:p>
      </c:txPr>
    </c:legend>
    <c:plotVisOnly val="1"/>
    <c:dispBlanksAs val="gap"/>
    <c:showDLblsOverMax val="0"/>
    <c:extLst>
      <c:ext uri="{0b15fc19-7d7d-44ad-8c2d-2c3a37ce22c3}">
        <chartProps xmlns="https://web.wps.cn/et/2018/main" chartId="{538ba565-4d7c-495f-8440-3cde4303d78d}"/>
      </c:ext>
    </c:extLst>
  </c:chart>
  <c:spPr>
    <a:solidFill>
      <a:schemeClr val="bg1"/>
    </a:solidFill>
    <a:ln w="9525" cap="flat" cmpd="sng" algn="ctr">
      <a:solidFill>
        <a:schemeClr val="bg1"/>
      </a:solidFill>
      <a:round/>
    </a:ln>
    <a:effectLst/>
  </c:spPr>
  <c:txPr>
    <a:bodyPr/>
    <a:lstStyle/>
    <a:p>
      <a:pPr>
        <a:defRPr lang="zh-CN">
          <a:ln w="12700">
            <a:noFill/>
          </a:ln>
          <a:solidFill>
            <a:schemeClr val="tx1"/>
          </a:solidFill>
        </a:defRPr>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63138888888889"/>
          <c:y val="0.175672279467203"/>
          <c:w val="0.806305555555555"/>
          <c:h val="0.71394822819804"/>
        </c:manualLayout>
      </c:layout>
      <c:lineChart>
        <c:grouping val="standard"/>
        <c:varyColors val="0"/>
        <c:ser>
          <c:idx val="0"/>
          <c:order val="0"/>
          <c:tx>
            <c:strRef>
              <c:f>[提取溶剂体积分数.xlsx]Sheet1!$B$48</c:f>
              <c:strCache>
                <c:ptCount val="1"/>
                <c:pt idx="0">
                  <c:v>双去甲氧基姜黄素(%)</c:v>
                </c:pt>
              </c:strCache>
            </c:strRef>
          </c:tx>
          <c:spPr>
            <a:ln w="12700" cap="rnd">
              <a:solidFill>
                <a:schemeClr val="accent1"/>
              </a:solidFill>
              <a:round/>
            </a:ln>
            <a:effectLst/>
          </c:spPr>
          <c:marker>
            <c:symbol val="diamond"/>
            <c:size val="6"/>
            <c:spPr>
              <a:solidFill>
                <a:schemeClr val="accent1"/>
              </a:solidFill>
              <a:ln w="9525">
                <a:solidFill>
                  <a:schemeClr val="accent1"/>
                </a:solidFill>
                <a:round/>
              </a:ln>
              <a:effectLst/>
            </c:spPr>
          </c:marker>
          <c:dLbls>
            <c:delete val="1"/>
          </c:dLbls>
          <c:cat>
            <c:strRef>
              <c:f>[提取溶剂体积分数.xlsx]Sheet1!$A$49:$A$53</c:f>
              <c:strCache>
                <c:ptCount val="5"/>
                <c:pt idx="0">
                  <c:v>乙醇100%</c:v>
                </c:pt>
                <c:pt idx="1">
                  <c:v>乙醇90%</c:v>
                </c:pt>
                <c:pt idx="2">
                  <c:v>乙醇80%</c:v>
                </c:pt>
                <c:pt idx="3">
                  <c:v>乙醇70%</c:v>
                </c:pt>
                <c:pt idx="4">
                  <c:v>乙醇60%</c:v>
                </c:pt>
              </c:strCache>
            </c:strRef>
          </c:cat>
          <c:val>
            <c:numRef>
              <c:f>[提取溶剂体积分数.xlsx]Sheet1!$B$49:$B$53</c:f>
              <c:numCache>
                <c:formatCode>0.000_ </c:formatCode>
                <c:ptCount val="5"/>
                <c:pt idx="0">
                  <c:v>0.53672</c:v>
                </c:pt>
                <c:pt idx="1">
                  <c:v>0.57418</c:v>
                </c:pt>
                <c:pt idx="2">
                  <c:v>0.61301</c:v>
                </c:pt>
                <c:pt idx="3">
                  <c:v>0.656135</c:v>
                </c:pt>
                <c:pt idx="4">
                  <c:v>0.62235</c:v>
                </c:pt>
              </c:numCache>
            </c:numRef>
          </c:val>
          <c:smooth val="0"/>
        </c:ser>
        <c:ser>
          <c:idx val="1"/>
          <c:order val="1"/>
          <c:tx>
            <c:strRef>
              <c:f>[提取溶剂体积分数.xlsx]Sheet1!$C$48</c:f>
              <c:strCache>
                <c:ptCount val="1"/>
                <c:pt idx="0">
                  <c:v>去甲氧基姜黄素(%)</c:v>
                </c:pt>
              </c:strCache>
            </c:strRef>
          </c:tx>
          <c:spPr>
            <a:ln w="12700" cap="rnd">
              <a:solidFill>
                <a:schemeClr val="accent2"/>
              </a:solidFill>
              <a:round/>
            </a:ln>
            <a:effectLst/>
          </c:spPr>
          <c:marker>
            <c:symbol val="square"/>
            <c:size val="6"/>
            <c:spPr>
              <a:solidFill>
                <a:schemeClr val="accent2"/>
              </a:solidFill>
              <a:ln w="9525">
                <a:solidFill>
                  <a:schemeClr val="accent2"/>
                </a:solidFill>
                <a:round/>
              </a:ln>
              <a:effectLst/>
            </c:spPr>
          </c:marker>
          <c:dLbls>
            <c:delete val="1"/>
          </c:dLbls>
          <c:cat>
            <c:strRef>
              <c:f>[提取溶剂体积分数.xlsx]Sheet1!$A$49:$A$53</c:f>
              <c:strCache>
                <c:ptCount val="5"/>
                <c:pt idx="0">
                  <c:v>乙醇100%</c:v>
                </c:pt>
                <c:pt idx="1">
                  <c:v>乙醇90%</c:v>
                </c:pt>
                <c:pt idx="2">
                  <c:v>乙醇80%</c:v>
                </c:pt>
                <c:pt idx="3">
                  <c:v>乙醇70%</c:v>
                </c:pt>
                <c:pt idx="4">
                  <c:v>乙醇60%</c:v>
                </c:pt>
              </c:strCache>
            </c:strRef>
          </c:cat>
          <c:val>
            <c:numRef>
              <c:f>[提取溶剂体积分数.xlsx]Sheet1!$C$49:$C$53</c:f>
              <c:numCache>
                <c:formatCode>0.000_ </c:formatCode>
                <c:ptCount val="5"/>
                <c:pt idx="0">
                  <c:v>0.36905</c:v>
                </c:pt>
                <c:pt idx="1">
                  <c:v>0.3903</c:v>
                </c:pt>
                <c:pt idx="2">
                  <c:v>0.40136</c:v>
                </c:pt>
                <c:pt idx="3">
                  <c:v>0.43124</c:v>
                </c:pt>
                <c:pt idx="4">
                  <c:v>0.40618</c:v>
                </c:pt>
              </c:numCache>
            </c:numRef>
          </c:val>
          <c:smooth val="0"/>
        </c:ser>
        <c:ser>
          <c:idx val="2"/>
          <c:order val="2"/>
          <c:tx>
            <c:strRef>
              <c:f>[提取溶剂体积分数.xlsx]Sheet1!$D$48</c:f>
              <c:strCache>
                <c:ptCount val="1"/>
                <c:pt idx="0">
                  <c:v>姜黄素(%)</c:v>
                </c:pt>
              </c:strCache>
            </c:strRef>
          </c:tx>
          <c:spPr>
            <a:ln w="12700" cap="rnd">
              <a:solidFill>
                <a:schemeClr val="accent3"/>
              </a:solidFill>
              <a:round/>
            </a:ln>
            <a:effectLst/>
          </c:spPr>
          <c:marker>
            <c:symbol val="triangle"/>
            <c:size val="6"/>
            <c:spPr>
              <a:solidFill>
                <a:schemeClr val="accent3"/>
              </a:solidFill>
              <a:ln w="9525">
                <a:solidFill>
                  <a:schemeClr val="accent3"/>
                </a:solidFill>
                <a:round/>
              </a:ln>
              <a:effectLst/>
            </c:spPr>
          </c:marker>
          <c:dLbls>
            <c:delete val="1"/>
          </c:dLbls>
          <c:cat>
            <c:strRef>
              <c:f>[提取溶剂体积分数.xlsx]Sheet1!$A$49:$A$53</c:f>
              <c:strCache>
                <c:ptCount val="5"/>
                <c:pt idx="0">
                  <c:v>乙醇100%</c:v>
                </c:pt>
                <c:pt idx="1">
                  <c:v>乙醇90%</c:v>
                </c:pt>
                <c:pt idx="2">
                  <c:v>乙醇80%</c:v>
                </c:pt>
                <c:pt idx="3">
                  <c:v>乙醇70%</c:v>
                </c:pt>
                <c:pt idx="4">
                  <c:v>乙醇60%</c:v>
                </c:pt>
              </c:strCache>
            </c:strRef>
          </c:cat>
          <c:val>
            <c:numRef>
              <c:f>[提取溶剂体积分数.xlsx]Sheet1!$D$49:$D$53</c:f>
              <c:numCache>
                <c:formatCode>0.000_ </c:formatCode>
                <c:ptCount val="5"/>
                <c:pt idx="0">
                  <c:v>0.7604</c:v>
                </c:pt>
                <c:pt idx="1">
                  <c:v>0.79934</c:v>
                </c:pt>
                <c:pt idx="2">
                  <c:v>0.810165</c:v>
                </c:pt>
                <c:pt idx="3">
                  <c:v>0.860815</c:v>
                </c:pt>
                <c:pt idx="4">
                  <c:v>0.81738</c:v>
                </c:pt>
              </c:numCache>
            </c:numRef>
          </c:val>
          <c:smooth val="0"/>
        </c:ser>
        <c:dLbls>
          <c:showLegendKey val="0"/>
          <c:showVal val="0"/>
          <c:showCatName val="0"/>
          <c:showSerName val="0"/>
          <c:showPercent val="0"/>
          <c:showBubbleSize val="0"/>
        </c:dLbls>
        <c:marker val="1"/>
        <c:smooth val="0"/>
        <c:axId val="597187112"/>
        <c:axId val="597185544"/>
      </c:lineChart>
      <c:catAx>
        <c:axId val="597187112"/>
        <c:scaling>
          <c:orientation val="minMax"/>
        </c:scaling>
        <c:delete val="0"/>
        <c:axPos val="b"/>
        <c:majorGridlines>
          <c:spPr>
            <a:ln w="9525" cap="flat" cmpd="sng" algn="ctr">
              <a:noFill/>
              <a:round/>
            </a:ln>
            <a:effectLst/>
          </c:spPr>
        </c:majorGridlines>
        <c:numFmt formatCode="General" sourceLinked="0"/>
        <c:majorTickMark val="out"/>
        <c:minorTickMark val="none"/>
        <c:tickLblPos val="nextTo"/>
        <c:spPr>
          <a:noFill/>
          <a:ln w="9525" cap="flat" cmpd="sng" algn="ctr">
            <a:solidFill>
              <a:schemeClr val="tx1"/>
            </a:solidFill>
            <a:round/>
          </a:ln>
          <a:effectLst/>
        </c:spPr>
        <c:txPr>
          <a:bodyPr rot="-60000000" spcFirstLastPara="0" vertOverflow="ellipsis" vert="horz" wrap="square" anchor="ctr" anchorCtr="1"/>
          <a:lstStyle/>
          <a:p>
            <a:pPr>
              <a:defRPr lang="zh-CN" sz="800" b="0" i="0" u="none" strike="noStrike" kern="1200" cap="all" spc="120" normalizeH="0" baseline="0">
                <a:solidFill>
                  <a:schemeClr val="tx1"/>
                </a:solidFill>
                <a:latin typeface="+mn-lt"/>
                <a:ea typeface="+mn-ea"/>
                <a:cs typeface="+mn-cs"/>
              </a:defRPr>
            </a:pPr>
          </a:p>
        </c:txPr>
        <c:crossAx val="597185544"/>
        <c:crosses val="autoZero"/>
        <c:auto val="1"/>
        <c:lblAlgn val="ctr"/>
        <c:lblOffset val="100"/>
        <c:noMultiLvlLbl val="0"/>
      </c:catAx>
      <c:valAx>
        <c:axId val="597185544"/>
        <c:scaling>
          <c:orientation val="minMax"/>
          <c:min val="0.2"/>
        </c:scaling>
        <c:delete val="0"/>
        <c:axPos val="l"/>
        <c:title>
          <c:tx>
            <c:rich>
              <a:bodyPr rot="-5400000" spcFirstLastPara="0" vertOverflow="ellipsis" vert="horz" wrap="square" anchor="ctr" anchorCtr="1"/>
              <a:lstStyle/>
              <a:p>
                <a:pPr defTabSz="914400">
                  <a:defRPr lang="zh-CN" sz="900" b="0" i="0" u="none" strike="noStrike" kern="1200" cap="all" baseline="0">
                    <a:solidFill>
                      <a:schemeClr val="tx1"/>
                    </a:solidFill>
                    <a:latin typeface="+mn-lt"/>
                    <a:ea typeface="+mn-ea"/>
                    <a:cs typeface="+mn-cs"/>
                  </a:defRPr>
                </a:pPr>
                <a:r>
                  <a:rPr lang="zh-CN" altLang="en-US">
                    <a:solidFill>
                      <a:schemeClr val="tx1"/>
                    </a:solidFill>
                  </a:rPr>
                  <a:t>单位：</a:t>
                </a:r>
                <a:r>
                  <a:rPr lang="en-US" altLang="zh-CN">
                    <a:solidFill>
                      <a:schemeClr val="tx1"/>
                    </a:solidFill>
                  </a:rPr>
                  <a:t>%</a:t>
                </a:r>
                <a:endParaRPr lang="en-US" altLang="zh-CN">
                  <a:solidFill>
                    <a:schemeClr val="tx1"/>
                  </a:solidFill>
                </a:endParaRPr>
              </a:p>
            </c:rich>
          </c:tx>
          <c:layout/>
          <c:overlay val="0"/>
          <c:spPr>
            <a:noFill/>
            <a:ln>
              <a:noFill/>
            </a:ln>
            <a:effectLst/>
          </c:spPr>
        </c:title>
        <c:numFmt formatCode="0.000_ " sourceLinked="1"/>
        <c:majorTickMark val="out"/>
        <c:minorTickMark val="none"/>
        <c:tickLblPos val="nextTo"/>
        <c:spPr>
          <a:noFill/>
          <a:ln w="9525" cap="flat" cmpd="sng" algn="ctr">
            <a:solidFill>
              <a:schemeClr val="tx1"/>
            </a:solidFill>
            <a:round/>
          </a:ln>
          <a:effectLst/>
        </c:spPr>
        <c:txPr>
          <a:bodyPr rot="-6000000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crossAx val="597187112"/>
        <c:crosses val="autoZero"/>
        <c:crossBetween val="between"/>
      </c:valAx>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ded1d8ba-708f-4bd1-a7c5-bb8c11afef33}"/>
      </c:ext>
    </c:extLst>
  </c:chart>
  <c:spPr>
    <a:solidFill>
      <a:schemeClr val="lt1"/>
    </a:solidFill>
    <a:ln w="9525" cap="flat" cmpd="sng" algn="ctr">
      <a:solidFill>
        <a:schemeClr val="bg1"/>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[提取时间考察.xlsx]Sheet1!$C$29</c:f>
              <c:strCache>
                <c:ptCount val="1"/>
                <c:pt idx="0">
                  <c:v>双去甲氧基姜黄素(%)</c:v>
                </c:pt>
              </c:strCache>
            </c:strRef>
          </c:tx>
          <c:spPr>
            <a:ln w="12700" cap="rnd">
              <a:solidFill>
                <a:schemeClr val="accent1"/>
              </a:solidFill>
              <a:round/>
            </a:ln>
            <a:effectLst/>
          </c:spPr>
          <c:marker>
            <c:symbol val="diamond"/>
            <c:size val="6"/>
            <c:spPr>
              <a:solidFill>
                <a:schemeClr val="accent1"/>
              </a:solidFill>
              <a:ln w="9525">
                <a:solidFill>
                  <a:schemeClr val="accent1"/>
                </a:solidFill>
                <a:round/>
              </a:ln>
              <a:effectLst/>
            </c:spPr>
          </c:marker>
          <c:dLbls>
            <c:delete val="1"/>
          </c:dLbls>
          <c:cat>
            <c:numRef>
              <c:f>[提取时间考察.xlsx]Sheet1!$B$30:$B$37</c:f>
              <c:numCache>
                <c:formatCode>General</c:formatCode>
                <c:ptCount val="8"/>
                <c:pt idx="0">
                  <c:v>30</c:v>
                </c:pt>
                <c:pt idx="1">
                  <c:v>35</c:v>
                </c:pt>
                <c:pt idx="2">
                  <c:v>40</c:v>
                </c:pt>
                <c:pt idx="3">
                  <c:v>45</c:v>
                </c:pt>
                <c:pt idx="4">
                  <c:v>50</c:v>
                </c:pt>
                <c:pt idx="5">
                  <c:v>55</c:v>
                </c:pt>
                <c:pt idx="6">
                  <c:v>60</c:v>
                </c:pt>
                <c:pt idx="7">
                  <c:v>65</c:v>
                </c:pt>
              </c:numCache>
            </c:numRef>
          </c:cat>
          <c:val>
            <c:numRef>
              <c:f>[提取时间考察.xlsx]Sheet1!$C$30:$C$37</c:f>
              <c:numCache>
                <c:formatCode>0.000_ </c:formatCode>
                <c:ptCount val="8"/>
                <c:pt idx="0">
                  <c:v>0.79716</c:v>
                </c:pt>
                <c:pt idx="1">
                  <c:v>0.800595</c:v>
                </c:pt>
                <c:pt idx="2">
                  <c:v>0.793855</c:v>
                </c:pt>
                <c:pt idx="3">
                  <c:v>0.781925</c:v>
                </c:pt>
                <c:pt idx="4">
                  <c:v>0.80586</c:v>
                </c:pt>
                <c:pt idx="5">
                  <c:v>0.79931</c:v>
                </c:pt>
                <c:pt idx="6">
                  <c:v>0.8137</c:v>
                </c:pt>
                <c:pt idx="7">
                  <c:v>0.81135</c:v>
                </c:pt>
              </c:numCache>
            </c:numRef>
          </c:val>
          <c:smooth val="0"/>
        </c:ser>
        <c:ser>
          <c:idx val="1"/>
          <c:order val="1"/>
          <c:tx>
            <c:strRef>
              <c:f>[提取时间考察.xlsx]Sheet1!$D$29</c:f>
              <c:strCache>
                <c:ptCount val="1"/>
                <c:pt idx="0">
                  <c:v>去甲氧基姜黄素(%)</c:v>
                </c:pt>
              </c:strCache>
            </c:strRef>
          </c:tx>
          <c:spPr>
            <a:ln w="12700" cap="rnd">
              <a:solidFill>
                <a:schemeClr val="accent2"/>
              </a:solidFill>
              <a:round/>
            </a:ln>
            <a:effectLst/>
          </c:spPr>
          <c:marker>
            <c:symbol val="square"/>
            <c:size val="6"/>
            <c:spPr>
              <a:solidFill>
                <a:schemeClr val="accent2"/>
              </a:solidFill>
              <a:ln w="9525">
                <a:solidFill>
                  <a:schemeClr val="accent2"/>
                </a:solidFill>
                <a:round/>
              </a:ln>
              <a:effectLst/>
            </c:spPr>
          </c:marker>
          <c:dLbls>
            <c:delete val="1"/>
          </c:dLbls>
          <c:cat>
            <c:numRef>
              <c:f>[提取时间考察.xlsx]Sheet1!$B$30:$B$37</c:f>
              <c:numCache>
                <c:formatCode>General</c:formatCode>
                <c:ptCount val="8"/>
                <c:pt idx="0">
                  <c:v>30</c:v>
                </c:pt>
                <c:pt idx="1">
                  <c:v>35</c:v>
                </c:pt>
                <c:pt idx="2">
                  <c:v>40</c:v>
                </c:pt>
                <c:pt idx="3">
                  <c:v>45</c:v>
                </c:pt>
                <c:pt idx="4">
                  <c:v>50</c:v>
                </c:pt>
                <c:pt idx="5">
                  <c:v>55</c:v>
                </c:pt>
                <c:pt idx="6">
                  <c:v>60</c:v>
                </c:pt>
                <c:pt idx="7">
                  <c:v>65</c:v>
                </c:pt>
              </c:numCache>
            </c:numRef>
          </c:cat>
          <c:val>
            <c:numRef>
              <c:f>[提取时间考察.xlsx]Sheet1!$D$30:$D$37</c:f>
              <c:numCache>
                <c:formatCode>0.000_ </c:formatCode>
                <c:ptCount val="8"/>
                <c:pt idx="0">
                  <c:v>0.63135</c:v>
                </c:pt>
                <c:pt idx="1">
                  <c:v>0.636535</c:v>
                </c:pt>
                <c:pt idx="2">
                  <c:v>0.627485</c:v>
                </c:pt>
                <c:pt idx="3">
                  <c:v>0.623075</c:v>
                </c:pt>
                <c:pt idx="4">
                  <c:v>0.63726</c:v>
                </c:pt>
                <c:pt idx="5">
                  <c:v>0.62594</c:v>
                </c:pt>
                <c:pt idx="6">
                  <c:v>0.63993</c:v>
                </c:pt>
                <c:pt idx="7">
                  <c:v>0.63925</c:v>
                </c:pt>
              </c:numCache>
            </c:numRef>
          </c:val>
          <c:smooth val="0"/>
        </c:ser>
        <c:ser>
          <c:idx val="2"/>
          <c:order val="2"/>
          <c:tx>
            <c:strRef>
              <c:f>[提取时间考察.xlsx]Sheet1!$E$29</c:f>
              <c:strCache>
                <c:ptCount val="1"/>
                <c:pt idx="0">
                  <c:v>姜黄素(%)</c:v>
                </c:pt>
              </c:strCache>
            </c:strRef>
          </c:tx>
          <c:spPr>
            <a:ln w="12700" cap="rnd">
              <a:solidFill>
                <a:schemeClr val="accent3"/>
              </a:solidFill>
              <a:round/>
            </a:ln>
            <a:effectLst/>
          </c:spPr>
          <c:marker>
            <c:symbol val="triangle"/>
            <c:size val="6"/>
            <c:spPr>
              <a:solidFill>
                <a:schemeClr val="accent3"/>
              </a:solidFill>
              <a:ln w="9525">
                <a:solidFill>
                  <a:schemeClr val="accent3"/>
                </a:solidFill>
                <a:round/>
              </a:ln>
              <a:effectLst/>
            </c:spPr>
          </c:marker>
          <c:dLbls>
            <c:delete val="1"/>
          </c:dLbls>
          <c:cat>
            <c:numRef>
              <c:f>[提取时间考察.xlsx]Sheet1!$B$30:$B$37</c:f>
              <c:numCache>
                <c:formatCode>General</c:formatCode>
                <c:ptCount val="8"/>
                <c:pt idx="0">
                  <c:v>30</c:v>
                </c:pt>
                <c:pt idx="1">
                  <c:v>35</c:v>
                </c:pt>
                <c:pt idx="2">
                  <c:v>40</c:v>
                </c:pt>
                <c:pt idx="3">
                  <c:v>45</c:v>
                </c:pt>
                <c:pt idx="4">
                  <c:v>50</c:v>
                </c:pt>
                <c:pt idx="5">
                  <c:v>55</c:v>
                </c:pt>
                <c:pt idx="6">
                  <c:v>60</c:v>
                </c:pt>
                <c:pt idx="7">
                  <c:v>65</c:v>
                </c:pt>
              </c:numCache>
            </c:numRef>
          </c:cat>
          <c:val>
            <c:numRef>
              <c:f>[提取时间考察.xlsx]Sheet1!$E$30:$E$37</c:f>
              <c:numCache>
                <c:formatCode>0.000_ </c:formatCode>
                <c:ptCount val="8"/>
                <c:pt idx="0">
                  <c:v>0.7146</c:v>
                </c:pt>
                <c:pt idx="1">
                  <c:v>0.724995</c:v>
                </c:pt>
                <c:pt idx="2">
                  <c:v>0.71157</c:v>
                </c:pt>
                <c:pt idx="3">
                  <c:v>0.69114</c:v>
                </c:pt>
                <c:pt idx="4">
                  <c:v>0.73345</c:v>
                </c:pt>
                <c:pt idx="5">
                  <c:v>0.72051</c:v>
                </c:pt>
                <c:pt idx="6">
                  <c:v>0.733855</c:v>
                </c:pt>
                <c:pt idx="7">
                  <c:v>0.71551</c:v>
                </c:pt>
              </c:numCache>
            </c:numRef>
          </c:val>
          <c:smooth val="0"/>
        </c:ser>
        <c:dLbls>
          <c:showLegendKey val="0"/>
          <c:showVal val="0"/>
          <c:showCatName val="0"/>
          <c:showSerName val="0"/>
          <c:showPercent val="0"/>
          <c:showBubbleSize val="0"/>
        </c:dLbls>
        <c:marker val="1"/>
        <c:smooth val="0"/>
        <c:axId val="606714976"/>
        <c:axId val="606714192"/>
      </c:lineChart>
      <c:catAx>
        <c:axId val="606714976"/>
        <c:scaling>
          <c:orientation val="minMax"/>
        </c:scaling>
        <c:delete val="0"/>
        <c:axPos val="b"/>
        <c:majorGridlines>
          <c:spPr>
            <a:ln w="9525" cap="flat" cmpd="sng" algn="ctr">
              <a:noFill/>
              <a:round/>
            </a:ln>
            <a:effectLst/>
          </c:spPr>
        </c:majorGridlines>
        <c:title>
          <c:tx>
            <c:rich>
              <a:bodyPr rot="0" spcFirstLastPara="0" vertOverflow="ellipsis" vert="horz" wrap="square" anchor="ctr" anchorCtr="1"/>
              <a:lstStyle/>
              <a:p>
                <a:pPr defTabSz="914400">
                  <a:defRPr lang="zh-CN" sz="900" b="0" i="0" u="none" strike="noStrike" kern="1200" cap="all" baseline="0">
                    <a:solidFill>
                      <a:schemeClr val="tx1"/>
                    </a:solidFill>
                    <a:latin typeface="+mn-lt"/>
                    <a:ea typeface="+mn-ea"/>
                    <a:cs typeface="+mn-cs"/>
                  </a:defRPr>
                </a:pPr>
                <a:r>
                  <a:rPr lang="zh-CN" altLang="en-US">
                    <a:solidFill>
                      <a:schemeClr val="tx1"/>
                    </a:solidFill>
                  </a:rPr>
                  <a:t>单位：分钟</a:t>
                </a:r>
                <a:endParaRPr lang="zh-CN" altLang="en-US">
                  <a:solidFill>
                    <a:schemeClr val="tx1"/>
                  </a:solidFill>
                </a:endParaRPr>
              </a:p>
            </c:rich>
          </c:tx>
          <c:layout/>
          <c:overlay val="0"/>
          <c:spPr>
            <a:noFill/>
            <a:ln>
              <a:noFill/>
            </a:ln>
            <a:effectLst/>
          </c:spPr>
        </c:title>
        <c:numFmt formatCode="General" sourceLinked="0"/>
        <c:majorTickMark val="out"/>
        <c:minorTickMark val="none"/>
        <c:tickLblPos val="nextTo"/>
        <c:spPr>
          <a:noFill/>
          <a:ln w="9525" cap="flat" cmpd="sng" algn="ctr">
            <a:solidFill>
              <a:schemeClr val="tx1"/>
            </a:solidFill>
            <a:round/>
          </a:ln>
          <a:effectLst/>
        </c:spPr>
        <c:txPr>
          <a:bodyPr rot="-60000000" spcFirstLastPara="0" vertOverflow="ellipsis" vert="horz" wrap="square" anchor="ctr" anchorCtr="1"/>
          <a:lstStyle/>
          <a:p>
            <a:pPr>
              <a:defRPr lang="zh-CN" sz="800" b="0" i="0" u="none" strike="noStrike" kern="1200" cap="all" spc="120" normalizeH="0" baseline="0">
                <a:solidFill>
                  <a:schemeClr val="tx1"/>
                </a:solidFill>
                <a:latin typeface="+mn-lt"/>
                <a:ea typeface="+mn-ea"/>
                <a:cs typeface="+mn-cs"/>
              </a:defRPr>
            </a:pPr>
          </a:p>
        </c:txPr>
        <c:crossAx val="606714192"/>
        <c:crosses val="autoZero"/>
        <c:auto val="1"/>
        <c:lblAlgn val="ctr"/>
        <c:lblOffset val="100"/>
        <c:noMultiLvlLbl val="0"/>
      </c:catAx>
      <c:valAx>
        <c:axId val="606714192"/>
        <c:scaling>
          <c:orientation val="minMax"/>
          <c:min val="0.55"/>
        </c:scaling>
        <c:delete val="0"/>
        <c:axPos val="l"/>
        <c:title>
          <c:tx>
            <c:rich>
              <a:bodyPr rot="-5400000" spcFirstLastPara="0" vertOverflow="ellipsis" vert="horz" wrap="square" anchor="ctr" anchorCtr="1"/>
              <a:lstStyle/>
              <a:p>
                <a:pPr defTabSz="914400">
                  <a:defRPr lang="zh-CN" sz="900" b="0" i="0" u="none" strike="noStrike" kern="1200" cap="all" baseline="0">
                    <a:solidFill>
                      <a:schemeClr val="tx1"/>
                    </a:solidFill>
                    <a:latin typeface="+mn-lt"/>
                    <a:ea typeface="+mn-ea"/>
                    <a:cs typeface="+mn-cs"/>
                  </a:defRPr>
                </a:pPr>
                <a:r>
                  <a:rPr lang="zh-CN" altLang="en-US">
                    <a:solidFill>
                      <a:schemeClr val="tx1"/>
                    </a:solidFill>
                  </a:rPr>
                  <a:t>单位：</a:t>
                </a:r>
                <a:r>
                  <a:rPr lang="en-US" altLang="zh-CN">
                    <a:solidFill>
                      <a:schemeClr val="tx1"/>
                    </a:solidFill>
                  </a:rPr>
                  <a:t>%</a:t>
                </a:r>
                <a:endParaRPr lang="en-US" altLang="zh-CN">
                  <a:solidFill>
                    <a:schemeClr val="tx1"/>
                  </a:solidFill>
                </a:endParaRPr>
              </a:p>
            </c:rich>
          </c:tx>
          <c:layout/>
          <c:overlay val="0"/>
          <c:spPr>
            <a:noFill/>
            <a:ln>
              <a:noFill/>
            </a:ln>
            <a:effectLst/>
          </c:spPr>
        </c:title>
        <c:numFmt formatCode="0.000_ " sourceLinked="1"/>
        <c:majorTickMark val="out"/>
        <c:minorTickMark val="none"/>
        <c:tickLblPos val="nextTo"/>
        <c:spPr>
          <a:noFill/>
          <a:ln w="9525" cap="flat" cmpd="sng" algn="ctr">
            <a:solidFill>
              <a:schemeClr val="tx1"/>
            </a:solidFill>
            <a:round/>
          </a:ln>
          <a:effectLst/>
        </c:spPr>
        <c:txPr>
          <a:bodyPr rot="-6000000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crossAx val="606714976"/>
        <c:crosses val="autoZero"/>
        <c:crossBetween val="between"/>
      </c:valAx>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a53ea4e6-4cee-4836-86fc-4a113a45ced6}"/>
      </c:ext>
    </c:extLst>
  </c:chart>
  <c:spPr>
    <a:solidFill>
      <a:schemeClr val="lt1"/>
    </a:solidFill>
    <a:ln w="9525" cap="flat" cmpd="sng" algn="ctr">
      <a:solidFill>
        <a:schemeClr val="bg1"/>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3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900" b="0" i="0" u="none" strike="noStrike" kern="120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3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900" b="0" i="0" u="none" strike="noStrike" kern="120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F03112-8D06-42B3-84AA-39CA1A3C6B7C}">
  <ds:schemaRefs/>
</ds:datastoreItem>
</file>

<file path=docProps/app.xml><?xml version="1.0" encoding="utf-8"?>
<Properties xmlns="http://schemas.openxmlformats.org/officeDocument/2006/extended-properties" xmlns:vt="http://schemas.openxmlformats.org/officeDocument/2006/docPropsVTypes">
  <Template>Normal</Template>
  <Company>WWW.YlmF.CoM</Company>
  <Pages>28</Pages>
  <Words>5815</Words>
  <Characters>5946</Characters>
  <Lines>109</Lines>
  <Paragraphs>30</Paragraphs>
  <TotalTime>53</TotalTime>
  <ScaleCrop>false</ScaleCrop>
  <LinksUpToDate>false</LinksUpToDate>
  <CharactersWithSpaces>5995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2025-11-21T23:26:00Z</dcterms:created>
  <dc:creator>USER</dc:creator>
  <cp:lastModifiedBy>誰念誰川</cp:lastModifiedBy>
  <cp:lastPrinted>2019-07-11T03:21:00Z</cp:lastPrinted>
  <dcterms:modified xsi:type="dcterms:W3CDTF">2025-12-16T14:43:28Z</dcterms:modified>
  <dc:title>广西地方标准《脱氢枞酸》（征求意见稿）</dc:title>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0ECF269B85084CC4BCA0ACDB20F8D03B_13</vt:lpwstr>
  </property>
  <property fmtid="{D5CDD505-2E9C-101B-9397-08002B2CF9AE}" pid="4" name="KSOTemplateDocerSaveRecord">
    <vt:lpwstr>eyJoZGlkIjoiZjcwMzBhNDA5MWZkNjNjNjFjNmFkMDk0MGQ5YjMxZTYiLCJ1c2VySWQiOiIxOTA2MDI2MDgifQ==</vt:lpwstr>
  </property>
</Properties>
</file>